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482" w:firstLineChars="200"/>
        <w:jc w:val="center"/>
        <w:textAlignment w:val="auto"/>
        <w:rPr>
          <w:rFonts w:hint="eastAsia"/>
          <w:lang w:eastAsia="zh-CN"/>
        </w:rPr>
      </w:pPr>
      <w:r>
        <w:rPr>
          <w:rFonts w:ascii="仿宋" w:hAnsi="仿宋" w:eastAsia="仿宋" w:cs="Times New Roman"/>
          <w:b/>
          <w:bCs/>
          <w:sz w:val="24"/>
          <w:szCs w:val="24"/>
        </w:rPr>
        <w:t>好文分享｜</w:t>
      </w:r>
      <w:r>
        <w:rPr>
          <w:rFonts w:hint="eastAsia"/>
          <w:lang w:eastAsia="zh-CN"/>
        </w:rPr>
        <w:t>全球范围内针对医疗保健相关人工智能的监管政策举措是否保障了《赫尔辛基宣言》的落实？</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lang w:val="en-US" w:eastAsia="zh-CN"/>
        </w:rPr>
      </w:pPr>
      <w:r>
        <w:rPr>
          <w:rFonts w:hint="eastAsia"/>
          <w:lang w:val="en-US" w:eastAsia="zh-CN"/>
        </w:rPr>
        <w:t>摘要</w:t>
      </w:r>
    </w:p>
    <w:p>
      <w:pPr>
        <w:bidi w:val="0"/>
        <w:ind w:firstLine="0" w:firstLineChars="0"/>
        <w:rPr>
          <w:rFonts w:hint="eastAsia"/>
        </w:rPr>
      </w:pPr>
      <w:r>
        <w:rPr>
          <w:rFonts w:hint="eastAsia"/>
        </w:rPr>
        <w:t>随着数字健康技术与人工智能</w:t>
      </w:r>
      <w:r>
        <w:rPr>
          <w:rFonts w:hint="eastAsia"/>
          <w:lang w:val="en-US" w:eastAsia="zh-CN"/>
        </w:rPr>
        <w:t>的快速发展，新兴技术将</w:t>
      </w:r>
      <w:r>
        <w:rPr>
          <w:rFonts w:hint="eastAsia"/>
        </w:rPr>
        <w:t>重塑医学研究、医疗服务与公共卫生事业</w:t>
      </w:r>
      <w:r>
        <w:rPr>
          <w:rFonts w:hint="eastAsia"/>
          <w:lang w:eastAsia="zh-CN"/>
        </w:rPr>
        <w:t>。</w:t>
      </w:r>
      <w:r>
        <w:rPr>
          <w:rFonts w:hint="eastAsia"/>
        </w:rPr>
        <w:t>若要促进人工智能</w:t>
      </w:r>
      <w:r>
        <w:rPr>
          <w:rFonts w:hint="eastAsia"/>
          <w:lang w:val="en-US" w:eastAsia="zh-CN"/>
        </w:rPr>
        <w:t>在医疗</w:t>
      </w:r>
      <w:r>
        <w:rPr>
          <w:rFonts w:hint="default"/>
          <w:lang w:val="en-US" w:eastAsia="zh-CN"/>
        </w:rPr>
        <w:t>、</w:t>
      </w:r>
      <w:r>
        <w:rPr>
          <w:rFonts w:hint="eastAsia"/>
          <w:lang w:val="en-US" w:eastAsia="zh-CN"/>
        </w:rPr>
        <w:t>健康及保健服务的</w:t>
      </w:r>
      <w:r>
        <w:rPr>
          <w:rFonts w:hint="eastAsia"/>
        </w:rPr>
        <w:t>广泛</w:t>
      </w:r>
      <w:r>
        <w:rPr>
          <w:rFonts w:hint="eastAsia"/>
          <w:lang w:val="en-US" w:eastAsia="zh-CN"/>
        </w:rPr>
        <w:t>及良好</w:t>
      </w:r>
      <w:r>
        <w:rPr>
          <w:rFonts w:hint="eastAsia"/>
        </w:rPr>
        <w:t>应用，</w:t>
      </w:r>
      <w:r>
        <w:rPr>
          <w:rFonts w:hint="eastAsia"/>
          <w:lang w:val="en-US" w:eastAsia="zh-CN"/>
        </w:rPr>
        <w:t>政策制定者</w:t>
      </w:r>
      <w:r>
        <w:rPr>
          <w:rFonts w:hint="eastAsia"/>
        </w:rPr>
        <w:t>必须妥善应对随之而来的各类伦理挑战。近年来，各国政府纷纷采取行动，研究并制定针对人工智能在医疗保健领域</w:t>
      </w:r>
      <w:r>
        <w:rPr>
          <w:rFonts w:hint="eastAsia"/>
          <w:lang w:val="en-US" w:eastAsia="zh-CN"/>
        </w:rPr>
        <w:t>的</w:t>
      </w:r>
      <w:r>
        <w:rPr>
          <w:rFonts w:hint="eastAsia"/>
        </w:rPr>
        <w:t>研究、开发、部署的国家政策。</w:t>
      </w:r>
      <w:r>
        <w:rPr>
          <w:rFonts w:hint="eastAsia"/>
          <w:lang w:val="en-US" w:eastAsia="zh-CN"/>
        </w:rPr>
        <w:t>国际社会中，</w:t>
      </w:r>
      <w:r>
        <w:rPr>
          <w:rFonts w:hint="eastAsia"/>
        </w:rPr>
        <w:t>尽管各方在认识</w:t>
      </w:r>
      <w:r>
        <w:rPr>
          <w:rFonts w:hint="eastAsia"/>
          <w:lang w:val="en-US" w:eastAsia="zh-CN"/>
        </w:rPr>
        <w:t>相关</w:t>
      </w:r>
      <w:r>
        <w:rPr>
          <w:rFonts w:hint="eastAsia"/>
        </w:rPr>
        <w:t>伦理挑战方面正逐步形成共识，但对于应建立何种必要的人工智能监管准则，各方尚未形成统一意见。</w:t>
      </w:r>
    </w:p>
    <w:p>
      <w:pPr>
        <w:keepNext w:val="0"/>
        <w:keepLines w:val="0"/>
        <w:pageBreakBefore w:val="0"/>
        <w:widowControl w:val="0"/>
        <w:kinsoku/>
        <w:wordWrap/>
        <w:overflowPunct/>
        <w:topLinePunct w:val="0"/>
        <w:autoSpaceDE/>
        <w:autoSpaceDN/>
        <w:bidi w:val="0"/>
        <w:adjustRightInd/>
        <w:snapToGrid/>
        <w:ind w:firstLine="482" w:firstLineChars="200"/>
        <w:jc w:val="center"/>
        <w:textAlignment w:val="auto"/>
        <w:rPr>
          <w:rFonts w:hint="eastAsia" w:ascii="仿宋" w:hAnsi="仿宋" w:eastAsia="仿宋" w:cs="Times New Roman"/>
          <w:b/>
          <w:bCs/>
          <w:sz w:val="24"/>
          <w:szCs w:val="24"/>
        </w:rPr>
      </w:pP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ascii="仿宋" w:hAnsi="仿宋" w:eastAsia="仿宋" w:cs="Times New Roman"/>
          <w:b/>
          <w:bCs/>
          <w:sz w:val="24"/>
          <w:szCs w:val="24"/>
        </w:rPr>
      </w:pPr>
      <w:bookmarkStart w:id="0" w:name="_GoBack"/>
      <w:bookmarkEnd w:id="0"/>
    </w:p>
    <w:p>
      <w:pPr>
        <w:keepNext w:val="0"/>
        <w:keepLines w:val="0"/>
        <w:pageBreakBefore w:val="0"/>
        <w:widowControl/>
        <w:kinsoku/>
        <w:wordWrap/>
        <w:overflowPunct/>
        <w:topLinePunct w:val="0"/>
        <w:autoSpaceDE/>
        <w:autoSpaceDN/>
        <w:bidi w:val="0"/>
        <w:adjustRightInd w:val="0"/>
        <w:snapToGrid w:val="0"/>
        <w:spacing w:beforeAutospacing="0" w:afterAutospacing="0"/>
        <w:jc w:val="left"/>
        <w:textAlignment w:val="auto"/>
        <w:rPr>
          <w:rFonts w:ascii="仿宋" w:hAnsi="仿宋" w:eastAsia="仿宋" w:cs="Times New Roman"/>
          <w:b/>
          <w:bCs/>
          <w:kern w:val="0"/>
          <w:sz w:val="24"/>
          <w:highlight w:val="yellow"/>
        </w:rPr>
      </w:pPr>
      <w:r>
        <w:rPr>
          <w:rFonts w:hint="eastAsia" w:ascii="仿宋" w:hAnsi="仿宋" w:eastAsia="仿宋" w:cs="Times New Roman"/>
          <w:b/>
          <w:bCs/>
          <w:kern w:val="0"/>
          <w:sz w:val="24"/>
          <w:highlight w:val="yellow"/>
        </w:rPr>
        <w:t>一、</w:t>
      </w:r>
      <w:r>
        <w:rPr>
          <w:rFonts w:ascii="仿宋" w:hAnsi="仿宋" w:eastAsia="仿宋" w:cs="Times New Roman"/>
          <w:b/>
          <w:bCs/>
          <w:kern w:val="0"/>
          <w:sz w:val="24"/>
          <w:highlight w:val="yellow"/>
        </w:rPr>
        <w:t>iBioLaw好文精选理由</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sz w:val="24"/>
          <w:szCs w:val="24"/>
          <w:highlight w:val="yellow"/>
        </w:rPr>
      </w:pPr>
    </w:p>
    <w:p>
      <w:pPr>
        <w:bidi w:val="0"/>
        <w:ind w:firstLine="0" w:firstLineChars="0"/>
        <w:rPr>
          <w:rFonts w:hint="eastAsia"/>
        </w:rPr>
      </w:pPr>
      <w:r>
        <w:rPr>
          <w:rFonts w:hint="eastAsia"/>
        </w:rPr>
        <w:t>随着数字健康技术与人工智能</w:t>
      </w:r>
      <w:r>
        <w:rPr>
          <w:rFonts w:hint="eastAsia"/>
          <w:lang w:val="en-US" w:eastAsia="zh-CN"/>
        </w:rPr>
        <w:t>的快速发展，新兴技术将</w:t>
      </w:r>
      <w:r>
        <w:rPr>
          <w:rFonts w:hint="eastAsia"/>
        </w:rPr>
        <w:t>重塑医学研究、医疗服务与公共卫生事业</w:t>
      </w:r>
      <w:r>
        <w:rPr>
          <w:rFonts w:hint="eastAsia"/>
          <w:lang w:eastAsia="zh-CN"/>
        </w:rPr>
        <w:t>。</w:t>
      </w:r>
      <w:r>
        <w:rPr>
          <w:rFonts w:hint="eastAsia"/>
        </w:rPr>
        <w:t>若要促进人工智能</w:t>
      </w:r>
      <w:r>
        <w:rPr>
          <w:rFonts w:hint="eastAsia"/>
          <w:lang w:val="en-US" w:eastAsia="zh-CN"/>
        </w:rPr>
        <w:t>在医疗</w:t>
      </w:r>
      <w:r>
        <w:rPr>
          <w:rFonts w:hint="default"/>
          <w:lang w:val="en-US" w:eastAsia="zh-CN"/>
        </w:rPr>
        <w:t>、</w:t>
      </w:r>
      <w:r>
        <w:rPr>
          <w:rFonts w:hint="eastAsia"/>
          <w:lang w:val="en-US" w:eastAsia="zh-CN"/>
        </w:rPr>
        <w:t>健康及保健服务的</w:t>
      </w:r>
      <w:r>
        <w:rPr>
          <w:rFonts w:hint="eastAsia"/>
        </w:rPr>
        <w:t>广泛</w:t>
      </w:r>
      <w:r>
        <w:rPr>
          <w:rFonts w:hint="eastAsia"/>
          <w:lang w:val="en-US" w:eastAsia="zh-CN"/>
        </w:rPr>
        <w:t>及良好</w:t>
      </w:r>
      <w:r>
        <w:rPr>
          <w:rFonts w:hint="eastAsia"/>
        </w:rPr>
        <w:t>应用，</w:t>
      </w:r>
      <w:r>
        <w:rPr>
          <w:rFonts w:hint="eastAsia"/>
          <w:lang w:val="en-US" w:eastAsia="zh-CN"/>
        </w:rPr>
        <w:t>政策制定者</w:t>
      </w:r>
      <w:r>
        <w:rPr>
          <w:rFonts w:hint="eastAsia"/>
        </w:rPr>
        <w:t>必须妥善应对随之而来的各类伦理挑战。近年来，各国政府纷纷采取行动，研究并制定针对人工智能在医疗保健领域</w:t>
      </w:r>
      <w:r>
        <w:rPr>
          <w:rFonts w:hint="eastAsia"/>
          <w:lang w:val="en-US" w:eastAsia="zh-CN"/>
        </w:rPr>
        <w:t>的</w:t>
      </w:r>
      <w:r>
        <w:rPr>
          <w:rFonts w:hint="eastAsia"/>
        </w:rPr>
        <w:t>研究、开发、部署的国家政策。</w:t>
      </w:r>
      <w:r>
        <w:rPr>
          <w:rFonts w:hint="eastAsia"/>
          <w:lang w:val="en-US" w:eastAsia="zh-CN"/>
        </w:rPr>
        <w:t>国际社会中，</w:t>
      </w:r>
      <w:r>
        <w:rPr>
          <w:rFonts w:hint="eastAsia"/>
        </w:rPr>
        <w:t>尽管各方在认识</w:t>
      </w:r>
      <w:r>
        <w:rPr>
          <w:rFonts w:hint="eastAsia"/>
          <w:lang w:val="en-US" w:eastAsia="zh-CN"/>
        </w:rPr>
        <w:t>相关</w:t>
      </w:r>
      <w:r>
        <w:rPr>
          <w:rFonts w:hint="eastAsia"/>
        </w:rPr>
        <w:t>伦理挑战方面正逐步形成共识，但对于应建立何种必要的人工智能监管准则，各方尚未形成统一意见。</w:t>
      </w:r>
    </w:p>
    <w:p>
      <w:pPr>
        <w:bidi w:val="0"/>
        <w:rPr>
          <w:rFonts w:hint="eastAsia"/>
          <w:lang w:eastAsia="zh-CN"/>
        </w:rPr>
      </w:pPr>
    </w:p>
    <w:p>
      <w:pPr>
        <w:bidi w:val="0"/>
        <w:rPr>
          <w:rFonts w:hint="eastAsia"/>
          <w:lang w:eastAsia="zh-CN"/>
        </w:rPr>
      </w:pPr>
      <w:r>
        <w:rPr>
          <w:rFonts w:hint="eastAsia"/>
          <w:lang w:eastAsia="zh-CN"/>
        </w:rPr>
        <w:t xml:space="preserve">在此背景下，本期 iBioLaw </w:t>
      </w:r>
      <w:r>
        <w:rPr>
          <w:rFonts w:hint="eastAsia"/>
          <w:lang w:val="en-US" w:eastAsia="zh-CN"/>
        </w:rPr>
        <w:t>好文分享栏目向读者</w:t>
      </w:r>
      <w:r>
        <w:rPr>
          <w:rFonts w:hint="eastAsia"/>
          <w:lang w:eastAsia="zh-CN"/>
        </w:rPr>
        <w:t>推荐一篇发表于 2026 年，刊载于《eClinical Medicine》的研究论文《Do world-wide policy initiatives for regulating health care related artificial intelligence safeguard the declaration</w:t>
      </w:r>
      <w:r>
        <w:rPr>
          <w:rFonts w:hint="eastAsia"/>
          <w:lang w:val="en-US" w:eastAsia="zh-CN"/>
        </w:rPr>
        <w:t xml:space="preserve"> </w:t>
      </w:r>
      <w:r>
        <w:rPr>
          <w:rFonts w:hint="eastAsia"/>
          <w:lang w:eastAsia="zh-CN"/>
        </w:rPr>
        <w:t>of Helsinki?》（全球范围内针对医疗保健相关人工智能的监管政策举措是否保障了《赫尔辛基宣言》的落实？）。</w:t>
      </w:r>
    </w:p>
    <w:p>
      <w:pPr>
        <w:bidi w:val="0"/>
        <w:rPr>
          <w:rFonts w:hint="eastAsia"/>
          <w:lang w:eastAsia="zh-CN"/>
        </w:rPr>
      </w:pPr>
    </w:p>
    <w:p>
      <w:pPr>
        <w:bidi w:val="0"/>
        <w:rPr>
          <w:rFonts w:hint="eastAsia" w:eastAsia="仿宋"/>
          <w:lang w:eastAsia="zh-CN"/>
        </w:rPr>
      </w:pPr>
      <w:r>
        <w:rPr>
          <w:rFonts w:hint="eastAsia"/>
        </w:rPr>
        <w:t>本文聚焦</w:t>
      </w:r>
      <w:r>
        <w:rPr>
          <w:rFonts w:hint="eastAsia"/>
          <w:lang w:val="en-US" w:eastAsia="zh-CN"/>
        </w:rPr>
        <w:t>于</w:t>
      </w:r>
      <w:r>
        <w:rPr>
          <w:rFonts w:hint="eastAsia"/>
        </w:rPr>
        <w:t>全球人工智能医疗</w:t>
      </w:r>
      <w:r>
        <w:rPr>
          <w:rFonts w:hint="eastAsia"/>
          <w:lang w:val="en-US" w:eastAsia="zh-CN"/>
        </w:rPr>
        <w:t>的</w:t>
      </w:r>
      <w:r>
        <w:rPr>
          <w:rFonts w:hint="eastAsia"/>
        </w:rPr>
        <w:t>监管政策与《赫尔辛基宣言》伦理准则的契合性问题，</w:t>
      </w:r>
      <w:r>
        <w:rPr>
          <w:rFonts w:hint="eastAsia"/>
          <w:lang w:val="en-US" w:eastAsia="zh-CN"/>
        </w:rPr>
        <w:t>内容</w:t>
      </w:r>
      <w:r>
        <w:rPr>
          <w:rFonts w:hint="eastAsia"/>
        </w:rPr>
        <w:t>紧扣当前 AI</w:t>
      </w:r>
      <w:r>
        <w:rPr>
          <w:rFonts w:hint="eastAsia"/>
          <w:lang w:val="en-US" w:eastAsia="zh-CN"/>
        </w:rPr>
        <w:t>应用于健康医疗领域</w:t>
      </w:r>
      <w:r>
        <w:rPr>
          <w:rFonts w:hint="eastAsia"/>
        </w:rPr>
        <w:t>治理的</w:t>
      </w:r>
      <w:r>
        <w:rPr>
          <w:rFonts w:hint="eastAsia"/>
          <w:lang w:val="en-US" w:eastAsia="zh-CN"/>
        </w:rPr>
        <w:t>时代发展命题</w:t>
      </w:r>
      <w:r>
        <w:rPr>
          <w:rFonts w:hint="eastAsia"/>
        </w:rPr>
        <w:t>。文章以国际公认</w:t>
      </w:r>
      <w:r>
        <w:rPr>
          <w:rFonts w:hint="eastAsia"/>
          <w:lang w:val="en-US" w:eastAsia="zh-CN"/>
        </w:rPr>
        <w:t>的</w:t>
      </w:r>
      <w:r>
        <w:rPr>
          <w:rFonts w:hint="eastAsia"/>
          <w:lang w:eastAsia="zh-CN"/>
        </w:rPr>
        <w:t>《赫尔辛基宣言》</w:t>
      </w:r>
      <w:r>
        <w:rPr>
          <w:rFonts w:hint="eastAsia"/>
        </w:rPr>
        <w:t>为医学伦理规范基准</w:t>
      </w:r>
      <w:r>
        <w:rPr>
          <w:rFonts w:hint="eastAsia"/>
          <w:lang w:eastAsia="zh-CN"/>
        </w:rPr>
        <w:t>，</w:t>
      </w:r>
      <w:r>
        <w:rPr>
          <w:rFonts w:hint="eastAsia"/>
        </w:rPr>
        <w:t>系统</w:t>
      </w:r>
      <w:r>
        <w:rPr>
          <w:rFonts w:hint="eastAsia"/>
          <w:lang w:val="en-US" w:eastAsia="zh-CN"/>
        </w:rPr>
        <w:t>性</w:t>
      </w:r>
      <w:r>
        <w:rPr>
          <w:rFonts w:hint="eastAsia"/>
        </w:rPr>
        <w:t>梳理</w:t>
      </w:r>
      <w:r>
        <w:rPr>
          <w:rFonts w:hint="eastAsia"/>
          <w:lang w:val="en-US" w:eastAsia="zh-CN"/>
        </w:rPr>
        <w:t>并分析</w:t>
      </w:r>
      <w:r>
        <w:rPr>
          <w:rFonts w:hint="eastAsia"/>
        </w:rPr>
        <w:t>联合国、欧盟及AI</w:t>
      </w:r>
      <w:r>
        <w:rPr>
          <w:rFonts w:hint="eastAsia"/>
          <w:lang w:val="en-US" w:eastAsia="zh-CN"/>
        </w:rPr>
        <w:t>医疗技术</w:t>
      </w:r>
      <w:r>
        <w:rPr>
          <w:rFonts w:hint="eastAsia"/>
        </w:rPr>
        <w:t>领先国家的监管</w:t>
      </w:r>
      <w:r>
        <w:rPr>
          <w:rFonts w:hint="eastAsia"/>
          <w:lang w:val="en-US" w:eastAsia="zh-CN"/>
        </w:rPr>
        <w:t>政策及制度</w:t>
      </w:r>
      <w:r>
        <w:rPr>
          <w:rFonts w:hint="eastAsia"/>
        </w:rPr>
        <w:t>框架</w:t>
      </w:r>
      <w:r>
        <w:rPr>
          <w:rFonts w:hint="eastAsia"/>
          <w:lang w:eastAsia="zh-CN"/>
        </w:rPr>
        <w:t>。</w:t>
      </w:r>
      <w:r>
        <w:rPr>
          <w:rFonts w:hint="eastAsia"/>
          <w:lang w:val="en-US" w:eastAsia="zh-CN"/>
        </w:rPr>
        <w:t>在此基础上，文章进一步</w:t>
      </w:r>
      <w:r>
        <w:rPr>
          <w:rFonts w:hint="eastAsia"/>
        </w:rPr>
        <w:t>剖析现有政策在保障受试者尊严、知情同意、隐私与公平</w:t>
      </w:r>
      <w:r>
        <w:rPr>
          <w:rFonts w:hint="eastAsia"/>
          <w:lang w:val="en-US" w:eastAsia="zh-CN"/>
        </w:rPr>
        <w:t>有效性</w:t>
      </w:r>
      <w:r>
        <w:rPr>
          <w:rFonts w:hint="eastAsia"/>
        </w:rPr>
        <w:t>性等方面的</w:t>
      </w:r>
      <w:r>
        <w:rPr>
          <w:rFonts w:hint="eastAsia"/>
          <w:lang w:val="en-US" w:eastAsia="zh-CN"/>
        </w:rPr>
        <w:t>治理现状</w:t>
      </w:r>
      <w:r>
        <w:rPr>
          <w:rFonts w:hint="eastAsia"/>
        </w:rPr>
        <w:t>与</w:t>
      </w:r>
      <w:r>
        <w:rPr>
          <w:rFonts w:hint="eastAsia"/>
          <w:lang w:val="en-US" w:eastAsia="zh-CN"/>
        </w:rPr>
        <w:t>挑战</w:t>
      </w:r>
      <w:r>
        <w:rPr>
          <w:rFonts w:hint="eastAsia"/>
          <w:lang w:eastAsia="zh-CN"/>
        </w:rPr>
        <w:t>。</w:t>
      </w:r>
      <w:r>
        <w:rPr>
          <w:rFonts w:hint="eastAsia"/>
          <w:lang w:val="en-US" w:eastAsia="zh-CN"/>
        </w:rPr>
        <w:t>此论文旨在提出一套具有适应性的国际化人工智能政策与治理框架，以同步跟进人工智能技术应用于医疗健康领域的迅猛发展，供各国参考，从而对相关法规进行动态监督与完善。该项研究</w:t>
      </w:r>
      <w:r>
        <w:rPr>
          <w:rFonts w:hint="eastAsia"/>
        </w:rPr>
        <w:t>兼具</w:t>
      </w:r>
      <w:r>
        <w:rPr>
          <w:rFonts w:hint="eastAsia"/>
          <w:lang w:val="en-US" w:eastAsia="zh-CN"/>
        </w:rPr>
        <w:t>理论深度</w:t>
      </w:r>
      <w:r>
        <w:rPr>
          <w:rFonts w:hint="eastAsia"/>
        </w:rPr>
        <w:t>与</w:t>
      </w:r>
      <w:r>
        <w:rPr>
          <w:rFonts w:hint="eastAsia"/>
          <w:lang w:val="en-US" w:eastAsia="zh-CN"/>
        </w:rPr>
        <w:t>现实</w:t>
      </w:r>
      <w:r>
        <w:rPr>
          <w:rFonts w:hint="eastAsia"/>
        </w:rPr>
        <w:t>政策指导意义，对推动符合医学伦理、负责任、可信赖的医疗</w:t>
      </w:r>
      <w:r>
        <w:rPr>
          <w:rFonts w:hint="eastAsia"/>
          <w:lang w:val="en-US" w:eastAsia="zh-CN"/>
        </w:rPr>
        <w:t>健康领域</w:t>
      </w:r>
      <w:r>
        <w:rPr>
          <w:rFonts w:hint="eastAsia"/>
        </w:rPr>
        <w:t xml:space="preserve"> AI 治理体系</w:t>
      </w:r>
      <w:r>
        <w:rPr>
          <w:rFonts w:hint="eastAsia"/>
          <w:lang w:val="en-US" w:eastAsia="zh-CN"/>
        </w:rPr>
        <w:t>建设提供</w:t>
      </w:r>
      <w:r>
        <w:rPr>
          <w:rFonts w:hint="eastAsia"/>
        </w:rPr>
        <w:t>重要参考价值</w:t>
      </w:r>
      <w:r>
        <w:rPr>
          <w:rFonts w:hint="eastAsia"/>
          <w:lang w:eastAsia="zh-CN"/>
        </w:rPr>
        <w:t>。</w:t>
      </w:r>
    </w:p>
    <w:p>
      <w:pPr>
        <w:bidi w:val="0"/>
        <w:rPr>
          <w:rFonts w:hint="eastAsia"/>
        </w:rPr>
      </w:pPr>
      <w:r>
        <w:drawing>
          <wp:inline distT="0" distB="0" distL="114300" distR="114300">
            <wp:extent cx="5268595" cy="3690620"/>
            <wp:effectExtent l="0" t="0" r="4445"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268595" cy="36906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eastAsia="zh-CN"/>
        </w:rPr>
      </w:pPr>
    </w:p>
    <w:p>
      <w:pPr>
        <w:keepNext w:val="0"/>
        <w:keepLines w:val="0"/>
        <w:pageBreakBefore w:val="0"/>
        <w:widowControl/>
        <w:numPr>
          <w:ilvl w:val="0"/>
          <w:numId w:val="1"/>
        </w:numPr>
        <w:kinsoku/>
        <w:wordWrap/>
        <w:overflowPunct/>
        <w:topLinePunct w:val="0"/>
        <w:autoSpaceDE/>
        <w:autoSpaceDN/>
        <w:bidi w:val="0"/>
        <w:adjustRightInd w:val="0"/>
        <w:snapToGrid w:val="0"/>
        <w:spacing w:beforeAutospacing="0" w:afterAutospacing="0"/>
        <w:jc w:val="left"/>
        <w:textAlignment w:val="auto"/>
        <w:rPr>
          <w:rFonts w:hint="default"/>
          <w:sz w:val="24"/>
          <w:szCs w:val="24"/>
          <w:lang w:val="en-US" w:eastAsia="zh-CN"/>
        </w:rPr>
      </w:pPr>
      <w:r>
        <w:rPr>
          <w:rFonts w:ascii="仿宋" w:hAnsi="仿宋" w:eastAsia="仿宋" w:cs="Times New Roman"/>
          <w:b/>
          <w:bCs/>
          <w:kern w:val="0"/>
          <w:sz w:val="24"/>
          <w:highlight w:val="yellow"/>
        </w:rPr>
        <w:t>主要内容概述：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eastAsia"/>
          <w:sz w:val="24"/>
          <w:szCs w:val="24"/>
          <w:lang w:val="en-US" w:eastAsia="zh-CN"/>
        </w:rPr>
        <w:t>文章认为</w:t>
      </w:r>
      <w:r>
        <w:rPr>
          <w:rFonts w:hint="default"/>
          <w:sz w:val="24"/>
          <w:szCs w:val="24"/>
          <w:lang w:val="en-US" w:eastAsia="zh-CN"/>
        </w:rPr>
        <w:t>医疗 AI 正重塑医学研究、医疗服务和公共卫生</w:t>
      </w:r>
      <w:r>
        <w:rPr>
          <w:rFonts w:hint="eastAsia"/>
          <w:sz w:val="24"/>
          <w:szCs w:val="24"/>
          <w:lang w:val="en-US" w:eastAsia="zh-CN"/>
        </w:rPr>
        <w:t>等关键领域</w:t>
      </w:r>
      <w:r>
        <w:rPr>
          <w:rFonts w:hint="default"/>
          <w:sz w:val="24"/>
          <w:szCs w:val="24"/>
          <w:lang w:val="en-US" w:eastAsia="zh-CN"/>
        </w:rPr>
        <w:t>，但</w:t>
      </w:r>
      <w:r>
        <w:rPr>
          <w:rFonts w:hint="eastAsia"/>
          <w:sz w:val="24"/>
          <w:szCs w:val="24"/>
          <w:lang w:val="en-US" w:eastAsia="zh-CN"/>
        </w:rPr>
        <w:t>广泛使用该新兴技术将</w:t>
      </w:r>
      <w:r>
        <w:rPr>
          <w:rFonts w:hint="default"/>
          <w:sz w:val="24"/>
          <w:szCs w:val="24"/>
          <w:lang w:val="en-US" w:eastAsia="zh-CN"/>
        </w:rPr>
        <w:t>带来超越传统监管边界的新型伦理挑战</w:t>
      </w:r>
      <w:r>
        <w:rPr>
          <w:rFonts w:hint="eastAsia"/>
          <w:sz w:val="24"/>
          <w:szCs w:val="24"/>
          <w:lang w:val="en-US" w:eastAsia="zh-CN"/>
        </w:rPr>
        <w:t>。当前</w:t>
      </w:r>
      <w:r>
        <w:rPr>
          <w:rFonts w:hint="default"/>
          <w:sz w:val="24"/>
          <w:szCs w:val="24"/>
          <w:lang w:val="en-US" w:eastAsia="zh-CN"/>
        </w:rPr>
        <w:t>全球对这些挑战的认知已形成一定共识，</w:t>
      </w:r>
      <w:r>
        <w:rPr>
          <w:rFonts w:hint="eastAsia"/>
          <w:sz w:val="24"/>
          <w:szCs w:val="24"/>
          <w:lang w:val="en-US" w:eastAsia="zh-CN"/>
        </w:rPr>
        <w:t>但是</w:t>
      </w:r>
      <w:r>
        <w:rPr>
          <w:rFonts w:hint="default"/>
          <w:sz w:val="24"/>
          <w:szCs w:val="24"/>
          <w:lang w:val="en-US" w:eastAsia="zh-CN"/>
        </w:rPr>
        <w:t xml:space="preserve">在 AI </w:t>
      </w:r>
      <w:r>
        <w:rPr>
          <w:rFonts w:hint="eastAsia"/>
          <w:sz w:val="24"/>
          <w:szCs w:val="24"/>
          <w:lang w:val="en-US" w:eastAsia="zh-CN"/>
        </w:rPr>
        <w:t>应用于医疗健康领域治理</w:t>
      </w:r>
      <w:r>
        <w:rPr>
          <w:rFonts w:hint="default"/>
          <w:sz w:val="24"/>
          <w:szCs w:val="24"/>
          <w:lang w:val="en-US" w:eastAsia="zh-CN"/>
        </w:rPr>
        <w:t>的具体措施上</w:t>
      </w:r>
      <w:r>
        <w:rPr>
          <w:rFonts w:hint="eastAsia"/>
          <w:sz w:val="24"/>
          <w:szCs w:val="24"/>
          <w:lang w:val="en-US" w:eastAsia="zh-CN"/>
        </w:rPr>
        <w:t>仍存在显著</w:t>
      </w:r>
      <w:r>
        <w:rPr>
          <w:rFonts w:hint="default"/>
          <w:sz w:val="24"/>
          <w:szCs w:val="24"/>
          <w:lang w:val="en-US" w:eastAsia="zh-CN"/>
        </w:rPr>
        <w:t>分歧。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eastAsia"/>
          <w:sz w:val="24"/>
          <w:szCs w:val="24"/>
          <w:lang w:val="en-US" w:eastAsia="zh-CN"/>
        </w:rPr>
        <w:t>该研究</w:t>
      </w:r>
      <w:r>
        <w:rPr>
          <w:rFonts w:hint="default"/>
          <w:sz w:val="24"/>
          <w:szCs w:val="24"/>
          <w:lang w:val="en-US" w:eastAsia="zh-CN"/>
        </w:rPr>
        <w:t>以 2024 年修订的《赫尔辛基宣言》为</w:t>
      </w:r>
      <w:r>
        <w:rPr>
          <w:rFonts w:hint="eastAsia"/>
          <w:sz w:val="24"/>
          <w:szCs w:val="24"/>
          <w:lang w:val="en-US" w:eastAsia="zh-CN"/>
        </w:rPr>
        <w:t>基本</w:t>
      </w:r>
      <w:r>
        <w:rPr>
          <w:rFonts w:hint="default"/>
          <w:sz w:val="24"/>
          <w:szCs w:val="24"/>
          <w:lang w:val="en-US" w:eastAsia="zh-CN"/>
        </w:rPr>
        <w:t>参考，</w:t>
      </w:r>
      <w:r>
        <w:rPr>
          <w:rFonts w:hint="eastAsia"/>
          <w:sz w:val="24"/>
          <w:szCs w:val="24"/>
          <w:lang w:val="en-US" w:eastAsia="zh-CN"/>
        </w:rPr>
        <w:t>展示了关于该《宣言》所</w:t>
      </w:r>
      <w:r>
        <w:rPr>
          <w:rFonts w:hint="default"/>
          <w:sz w:val="24"/>
          <w:szCs w:val="24"/>
          <w:lang w:val="en-US" w:eastAsia="zh-CN"/>
        </w:rPr>
        <w:t>新增</w:t>
      </w:r>
      <w:r>
        <w:rPr>
          <w:rFonts w:hint="eastAsia"/>
          <w:sz w:val="24"/>
          <w:szCs w:val="24"/>
          <w:lang w:val="en-US" w:eastAsia="zh-CN"/>
        </w:rPr>
        <w:t>、</w:t>
      </w:r>
      <w:r>
        <w:rPr>
          <w:rFonts w:hint="default"/>
          <w:sz w:val="24"/>
          <w:szCs w:val="24"/>
          <w:lang w:val="en-US" w:eastAsia="zh-CN"/>
        </w:rPr>
        <w:t>修订条款针对性解决医疗 AI</w:t>
      </w:r>
      <w:r>
        <w:rPr>
          <w:rFonts w:hint="eastAsia"/>
          <w:sz w:val="24"/>
          <w:szCs w:val="24"/>
          <w:lang w:val="en-US" w:eastAsia="zh-CN"/>
        </w:rPr>
        <w:t>应用</w:t>
      </w:r>
      <w:r>
        <w:rPr>
          <w:rFonts w:hint="default"/>
          <w:sz w:val="24"/>
          <w:szCs w:val="24"/>
          <w:lang w:val="en-US" w:eastAsia="zh-CN"/>
        </w:rPr>
        <w:t>的伦理问题，包括</w:t>
      </w:r>
      <w:r>
        <w:rPr>
          <w:rFonts w:hint="eastAsia"/>
          <w:sz w:val="24"/>
          <w:szCs w:val="24"/>
          <w:lang w:val="en-US" w:eastAsia="zh-CN"/>
        </w:rPr>
        <w:t>数据训练与二次使用的知情同意</w:t>
      </w:r>
      <w:r>
        <w:rPr>
          <w:rFonts w:hint="default"/>
          <w:sz w:val="24"/>
          <w:szCs w:val="24"/>
          <w:lang w:val="en-US" w:eastAsia="zh-CN"/>
        </w:rPr>
        <w:t xml:space="preserve">、AI </w:t>
      </w:r>
      <w:r>
        <w:rPr>
          <w:rFonts w:hint="eastAsia"/>
          <w:sz w:val="24"/>
          <w:szCs w:val="24"/>
          <w:lang w:val="en-US" w:eastAsia="zh-CN"/>
        </w:rPr>
        <w:t>风险</w:t>
      </w:r>
      <w:r>
        <w:rPr>
          <w:rFonts w:hint="default"/>
          <w:sz w:val="24"/>
          <w:szCs w:val="24"/>
          <w:lang w:val="en-US" w:eastAsia="zh-CN"/>
        </w:rPr>
        <w:t>评估的独立监督、持续的风险收益管理、研究注册与完整报告等</w:t>
      </w:r>
      <w:r>
        <w:rPr>
          <w:rFonts w:hint="eastAsia"/>
          <w:sz w:val="24"/>
          <w:szCs w:val="24"/>
          <w:lang w:val="en-US" w:eastAsia="zh-CN"/>
        </w:rPr>
        <w:t>。作者认为该《宣言》作为原则性的伦理准则，可被转化为针对高影响健康人工智能的相称保障措施</w:t>
      </w:r>
      <w:r>
        <w:rPr>
          <w:rFonts w:hint="default"/>
          <w:sz w:val="24"/>
          <w:szCs w:val="24"/>
          <w:lang w:val="en-US" w:eastAsia="zh-CN"/>
        </w:rPr>
        <w:t>。</w:t>
      </w:r>
      <w:r>
        <w:rPr>
          <w:rFonts w:hint="eastAsia"/>
          <w:sz w:val="24"/>
          <w:szCs w:val="24"/>
          <w:lang w:val="en-US" w:eastAsia="zh-CN"/>
        </w:rPr>
        <w:t>文章主要进行了以下的分析：</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文章分析了联合国及美、欧、英、印、中、加、日等 AI 生命科学研究领先国家的监管策略</w:t>
      </w:r>
      <w:r>
        <w:rPr>
          <w:rFonts w:hint="eastAsia"/>
          <w:sz w:val="24"/>
          <w:szCs w:val="24"/>
          <w:lang w:val="en-US" w:eastAsia="zh-CN"/>
        </w:rPr>
        <w:t>。</w:t>
      </w:r>
      <w:r>
        <w:rPr>
          <w:rFonts w:hint="default"/>
          <w:sz w:val="24"/>
          <w:szCs w:val="24"/>
          <w:lang w:val="en-US" w:eastAsia="zh-CN"/>
        </w:rPr>
        <w:t>各主体框架各有侧重，执行模式也存在显著差异：</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联合国：2024 年</w:t>
      </w:r>
      <w:r>
        <w:rPr>
          <w:rFonts w:hint="eastAsia"/>
          <w:sz w:val="24"/>
          <w:szCs w:val="24"/>
          <w:lang w:val="en-US" w:eastAsia="zh-CN"/>
        </w:rPr>
        <w:t>联合国</w:t>
      </w:r>
      <w:r>
        <w:rPr>
          <w:rFonts w:hint="default"/>
          <w:sz w:val="24"/>
          <w:szCs w:val="24"/>
          <w:lang w:val="en-US" w:eastAsia="zh-CN"/>
        </w:rPr>
        <w:t>通过</w:t>
      </w:r>
      <w:r>
        <w:rPr>
          <w:rFonts w:hint="eastAsia"/>
          <w:sz w:val="24"/>
          <w:szCs w:val="24"/>
          <w:lang w:val="en-US" w:eastAsia="zh-CN"/>
        </w:rPr>
        <w:t>规制</w:t>
      </w:r>
      <w:r>
        <w:rPr>
          <w:rFonts w:hint="default"/>
          <w:sz w:val="24"/>
          <w:szCs w:val="24"/>
          <w:lang w:val="en-US" w:eastAsia="zh-CN"/>
        </w:rPr>
        <w:t xml:space="preserve"> AI </w:t>
      </w:r>
      <w:r>
        <w:rPr>
          <w:rFonts w:hint="eastAsia"/>
          <w:sz w:val="24"/>
          <w:szCs w:val="24"/>
          <w:lang w:val="en-US" w:eastAsia="zh-CN"/>
        </w:rPr>
        <w:t>的</w:t>
      </w:r>
      <w:r>
        <w:rPr>
          <w:rFonts w:hint="default"/>
          <w:sz w:val="24"/>
          <w:szCs w:val="24"/>
          <w:lang w:val="en-US" w:eastAsia="zh-CN"/>
        </w:rPr>
        <w:t>决议</w:t>
      </w:r>
      <w:r>
        <w:rPr>
          <w:rFonts w:hint="eastAsia"/>
          <w:sz w:val="24"/>
          <w:szCs w:val="24"/>
          <w:lang w:val="en-US" w:eastAsia="zh-CN"/>
        </w:rPr>
        <w:t>，然而该决议并不具备强制力，</w:t>
      </w:r>
      <w:r>
        <w:rPr>
          <w:rFonts w:hint="default"/>
          <w:sz w:val="24"/>
          <w:szCs w:val="24"/>
          <w:lang w:val="en-US" w:eastAsia="zh-CN"/>
        </w:rPr>
        <w:t>，成员国</w:t>
      </w:r>
      <w:r>
        <w:rPr>
          <w:rFonts w:hint="eastAsia"/>
          <w:sz w:val="24"/>
          <w:szCs w:val="24"/>
          <w:lang w:val="en-US" w:eastAsia="zh-CN"/>
        </w:rPr>
        <w:t>具备</w:t>
      </w:r>
      <w:r>
        <w:rPr>
          <w:rFonts w:hint="default"/>
          <w:sz w:val="24"/>
          <w:szCs w:val="24"/>
          <w:lang w:val="en-US" w:eastAsia="zh-CN"/>
        </w:rPr>
        <w:t>高度执行自主权</w:t>
      </w:r>
      <w:r>
        <w:rPr>
          <w:rFonts w:hint="eastAsia"/>
          <w:sz w:val="24"/>
          <w:szCs w:val="24"/>
          <w:lang w:val="en-US" w:eastAsia="zh-CN"/>
        </w:rPr>
        <w:t>。尽管如此，联合国仍在</w:t>
      </w:r>
      <w:r>
        <w:rPr>
          <w:rFonts w:hint="default"/>
          <w:sz w:val="24"/>
          <w:szCs w:val="24"/>
          <w:lang w:val="en-US" w:eastAsia="zh-CN"/>
        </w:rPr>
        <w:t>通过制定全球伦理标准、推动国际对话</w:t>
      </w:r>
      <w:r>
        <w:rPr>
          <w:rFonts w:hint="eastAsia"/>
          <w:sz w:val="24"/>
          <w:szCs w:val="24"/>
          <w:lang w:val="en-US" w:eastAsia="zh-CN"/>
        </w:rPr>
        <w:t>对</w:t>
      </w:r>
      <w:r>
        <w:rPr>
          <w:rFonts w:hint="default"/>
          <w:sz w:val="24"/>
          <w:szCs w:val="24"/>
          <w:lang w:val="en-US" w:eastAsia="zh-CN"/>
        </w:rPr>
        <w:t>AI</w:t>
      </w:r>
      <w:r>
        <w:rPr>
          <w:rFonts w:hint="eastAsia"/>
          <w:sz w:val="24"/>
          <w:szCs w:val="24"/>
          <w:lang w:val="en-US" w:eastAsia="zh-CN"/>
        </w:rPr>
        <w:t>的治理议题上</w:t>
      </w:r>
      <w:r>
        <w:rPr>
          <w:rFonts w:hint="default"/>
          <w:sz w:val="24"/>
          <w:szCs w:val="24"/>
          <w:lang w:val="en-US" w:eastAsia="zh-CN"/>
        </w:rPr>
        <w:t>发挥软约束作用。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欧盟：</w:t>
      </w:r>
      <w:r>
        <w:rPr>
          <w:rFonts w:hint="eastAsia"/>
          <w:sz w:val="24"/>
          <w:szCs w:val="24"/>
          <w:lang w:val="en-US" w:eastAsia="zh-CN"/>
        </w:rPr>
        <w:t>欧盟推出人工智能法（</w:t>
      </w:r>
      <w:r>
        <w:rPr>
          <w:rFonts w:hint="default"/>
          <w:sz w:val="24"/>
          <w:szCs w:val="24"/>
          <w:lang w:val="en-US" w:eastAsia="zh-CN"/>
        </w:rPr>
        <w:t>EU AI Act</w:t>
      </w:r>
      <w:r>
        <w:rPr>
          <w:rFonts w:hint="eastAsia"/>
          <w:sz w:val="24"/>
          <w:szCs w:val="24"/>
          <w:lang w:val="en-US" w:eastAsia="zh-CN"/>
        </w:rPr>
        <w:t>），针</w:t>
      </w:r>
      <w:r>
        <w:rPr>
          <w:rFonts w:hint="default"/>
          <w:sz w:val="24"/>
          <w:szCs w:val="24"/>
          <w:lang w:val="en-US" w:eastAsia="zh-CN"/>
        </w:rPr>
        <w:t>对高风险医疗 AI 设严格前置要求和高额罚款，</w:t>
      </w:r>
      <w:r>
        <w:rPr>
          <w:rFonts w:hint="eastAsia"/>
          <w:sz w:val="24"/>
          <w:szCs w:val="24"/>
          <w:lang w:val="en-US" w:eastAsia="zh-CN"/>
        </w:rPr>
        <w:t>以</w:t>
      </w:r>
      <w:r>
        <w:rPr>
          <w:rFonts w:hint="default"/>
          <w:sz w:val="24"/>
          <w:szCs w:val="24"/>
          <w:lang w:val="en-US" w:eastAsia="zh-CN"/>
        </w:rPr>
        <w:t>保障人权与环境可持续性</w:t>
      </w:r>
      <w:r>
        <w:rPr>
          <w:rFonts w:hint="eastAsia"/>
          <w:sz w:val="24"/>
          <w:szCs w:val="24"/>
          <w:lang w:val="en-US" w:eastAsia="zh-CN"/>
        </w:rPr>
        <w:t>发展</w:t>
      </w:r>
      <w:r>
        <w:rPr>
          <w:rFonts w:hint="default"/>
          <w:sz w:val="24"/>
          <w:szCs w:val="24"/>
          <w:lang w:val="en-US" w:eastAsia="zh-CN"/>
        </w:rPr>
        <w:t>；但</w:t>
      </w:r>
      <w:r>
        <w:rPr>
          <w:rFonts w:hint="eastAsia"/>
          <w:sz w:val="24"/>
          <w:szCs w:val="24"/>
          <w:lang w:val="en-US" w:eastAsia="zh-CN"/>
        </w:rPr>
        <w:t>欧盟对医疗AI的规制</w:t>
      </w:r>
      <w:r>
        <w:rPr>
          <w:rFonts w:hint="default"/>
          <w:sz w:val="24"/>
          <w:szCs w:val="24"/>
          <w:lang w:val="en-US" w:eastAsia="zh-CN"/>
        </w:rPr>
        <w:t>存在分类模糊、可能削弱企业国际竞争力、国际合作不足等问题。</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美国：美国医疗保健领域人工智能监管的</w:t>
      </w:r>
      <w:r>
        <w:rPr>
          <w:rFonts w:hint="eastAsia"/>
          <w:sz w:val="24"/>
          <w:szCs w:val="24"/>
          <w:lang w:val="en-US" w:eastAsia="zh-CN"/>
        </w:rPr>
        <w:t>监管架构</w:t>
      </w:r>
      <w:r>
        <w:rPr>
          <w:rFonts w:hint="default"/>
          <w:sz w:val="24"/>
          <w:szCs w:val="24"/>
          <w:lang w:val="en-US" w:eastAsia="zh-CN"/>
        </w:rPr>
        <w:t>是多层次、分散的，并且很大程度上取决于具体的监管类型、相关机构（例如食品药品监督管理局 (FDA)、卫生与公众服务部 (HHS) 和国家</w:t>
      </w:r>
      <w:r>
        <w:rPr>
          <w:rFonts w:hint="eastAsia"/>
          <w:sz w:val="24"/>
          <w:szCs w:val="24"/>
          <w:lang w:val="en-US" w:eastAsia="zh-CN"/>
        </w:rPr>
        <w:t>卫生</w:t>
      </w:r>
      <w:r>
        <w:rPr>
          <w:rFonts w:hint="default"/>
          <w:sz w:val="24"/>
          <w:szCs w:val="24"/>
          <w:lang w:val="en-US" w:eastAsia="zh-CN"/>
        </w:rPr>
        <w:t xml:space="preserve">信息技术协调办公室 (ONC)、国家标准与技术研究院 (NIST)、联邦贸易委员会 (FTC) </w:t>
      </w:r>
      <w:r>
        <w:rPr>
          <w:rFonts w:hint="eastAsia"/>
          <w:sz w:val="24"/>
          <w:szCs w:val="24"/>
          <w:lang w:val="en-US" w:eastAsia="zh-CN"/>
        </w:rPr>
        <w:t>与美国</w:t>
      </w:r>
      <w:r>
        <w:rPr>
          <w:rFonts w:hint="default"/>
          <w:sz w:val="24"/>
          <w:szCs w:val="24"/>
          <w:lang w:val="en-US" w:eastAsia="zh-CN"/>
        </w:rPr>
        <w:t>国会）</w:t>
      </w:r>
      <w:r>
        <w:rPr>
          <w:rFonts w:hint="eastAsia"/>
          <w:sz w:val="24"/>
          <w:szCs w:val="24"/>
          <w:lang w:val="en-US" w:eastAsia="zh-CN"/>
        </w:rPr>
        <w:t>，</w:t>
      </w:r>
      <w:r>
        <w:rPr>
          <w:rFonts w:hint="default"/>
          <w:sz w:val="24"/>
          <w:szCs w:val="24"/>
          <w:lang w:val="en-US" w:eastAsia="zh-CN"/>
        </w:rPr>
        <w:t>以及人工智能应用的性质和风险。由于没有单一的专门针对人工智能的法律，</w:t>
      </w:r>
      <w:r>
        <w:rPr>
          <w:rFonts w:hint="eastAsia"/>
          <w:sz w:val="24"/>
          <w:szCs w:val="24"/>
          <w:lang w:val="en-US" w:eastAsia="zh-CN"/>
        </w:rPr>
        <w:t>政府监管</w:t>
      </w:r>
      <w:r>
        <w:rPr>
          <w:rFonts w:hint="default"/>
          <w:sz w:val="24"/>
          <w:szCs w:val="24"/>
          <w:lang w:val="en-US" w:eastAsia="zh-CN"/>
        </w:rPr>
        <w:t>是通过结合现有的</w:t>
      </w:r>
      <w:r>
        <w:rPr>
          <w:rFonts w:hint="eastAsia"/>
          <w:sz w:val="24"/>
          <w:szCs w:val="24"/>
          <w:lang w:val="en-US" w:eastAsia="zh-CN"/>
        </w:rPr>
        <w:t>法律</w:t>
      </w:r>
      <w:r>
        <w:rPr>
          <w:rFonts w:hint="default"/>
          <w:sz w:val="24"/>
          <w:szCs w:val="24"/>
          <w:lang w:val="en-US" w:eastAsia="zh-CN"/>
        </w:rPr>
        <w:t>框架、机构的特定权力以及不断发展的执法</w:t>
      </w:r>
      <w:r>
        <w:rPr>
          <w:rFonts w:hint="eastAsia"/>
          <w:sz w:val="24"/>
          <w:szCs w:val="24"/>
          <w:lang w:val="en-US" w:eastAsia="zh-CN"/>
        </w:rPr>
        <w:t>措施</w:t>
      </w:r>
      <w:r>
        <w:rPr>
          <w:rFonts w:hint="default"/>
          <w:sz w:val="24"/>
          <w:szCs w:val="24"/>
          <w:lang w:val="en-US" w:eastAsia="zh-CN"/>
        </w:rPr>
        <w:t>来实现的。</w:t>
      </w:r>
      <w:r>
        <w:rPr>
          <w:rFonts w:hint="eastAsia"/>
          <w:sz w:val="24"/>
          <w:szCs w:val="24"/>
          <w:lang w:val="en-US" w:eastAsia="zh-CN"/>
        </w:rPr>
        <w:t>监管</w:t>
      </w:r>
      <w:r>
        <w:rPr>
          <w:rFonts w:hint="default"/>
          <w:sz w:val="24"/>
          <w:szCs w:val="24"/>
          <w:lang w:val="en-US" w:eastAsia="zh-CN"/>
        </w:rPr>
        <w:t>方法</w:t>
      </w:r>
      <w:r>
        <w:rPr>
          <w:rFonts w:hint="eastAsia"/>
          <w:sz w:val="24"/>
          <w:szCs w:val="24"/>
          <w:lang w:val="en-US" w:eastAsia="zh-CN"/>
        </w:rPr>
        <w:t>也在</w:t>
      </w:r>
      <w:r>
        <w:rPr>
          <w:rFonts w:hint="default"/>
          <w:sz w:val="24"/>
          <w:szCs w:val="24"/>
          <w:lang w:val="en-US" w:eastAsia="zh-CN"/>
        </w:rPr>
        <w:t>随着人工智能技术的进步而不断发展。各机构正在调整其方法以应对人工智能的独特特征（例如，持续学习、算法复杂性），重点关注合规性和</w:t>
      </w:r>
      <w:r>
        <w:rPr>
          <w:rFonts w:hint="eastAsia"/>
          <w:sz w:val="24"/>
          <w:szCs w:val="24"/>
          <w:lang w:val="en-US" w:eastAsia="zh-CN"/>
        </w:rPr>
        <w:t>风险防范</w:t>
      </w:r>
      <w:r>
        <w:rPr>
          <w:rFonts w:hint="default"/>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英国：</w:t>
      </w:r>
      <w:r>
        <w:rPr>
          <w:rFonts w:hint="eastAsia"/>
          <w:sz w:val="24"/>
          <w:szCs w:val="24"/>
          <w:lang w:val="en-US" w:eastAsia="zh-CN"/>
        </w:rPr>
        <w:t>英国主要</w:t>
      </w:r>
      <w:r>
        <w:rPr>
          <w:rFonts w:hint="default"/>
          <w:sz w:val="24"/>
          <w:szCs w:val="24"/>
          <w:lang w:val="en-US" w:eastAsia="zh-CN"/>
        </w:rPr>
        <w:t>秉持 “</w:t>
      </w:r>
      <w:r>
        <w:rPr>
          <w:rFonts w:hint="eastAsia"/>
          <w:sz w:val="24"/>
          <w:szCs w:val="24"/>
          <w:lang w:val="en-US" w:eastAsia="zh-CN"/>
        </w:rPr>
        <w:t>重</w:t>
      </w:r>
      <w:r>
        <w:rPr>
          <w:rFonts w:hint="default"/>
          <w:sz w:val="24"/>
          <w:szCs w:val="24"/>
          <w:lang w:val="en-US" w:eastAsia="zh-CN"/>
        </w:rPr>
        <w:t xml:space="preserve">创新” </w:t>
      </w:r>
      <w:r>
        <w:rPr>
          <w:rFonts w:hint="eastAsia"/>
          <w:sz w:val="24"/>
          <w:szCs w:val="24"/>
          <w:lang w:val="en-US" w:eastAsia="zh-CN"/>
        </w:rPr>
        <w:t>的</w:t>
      </w:r>
      <w:r>
        <w:rPr>
          <w:rFonts w:hint="default"/>
          <w:sz w:val="24"/>
          <w:szCs w:val="24"/>
          <w:lang w:val="en-US" w:eastAsia="zh-CN"/>
        </w:rPr>
        <w:t>监管理念</w:t>
      </w:r>
      <w:r>
        <w:rPr>
          <w:rFonts w:hint="eastAsia"/>
          <w:sz w:val="24"/>
          <w:szCs w:val="24"/>
          <w:lang w:val="en-US" w:eastAsia="zh-CN"/>
        </w:rPr>
        <w:t>。因此，英国目前的监管</w:t>
      </w:r>
      <w:r>
        <w:rPr>
          <w:rFonts w:hint="default"/>
          <w:sz w:val="24"/>
          <w:szCs w:val="24"/>
          <w:lang w:val="en-US" w:eastAsia="zh-CN"/>
        </w:rPr>
        <w:t>框架并非针对特定技术，而是提供了一些不具约束力的</w:t>
      </w:r>
      <w:r>
        <w:rPr>
          <w:rFonts w:hint="eastAsia"/>
          <w:sz w:val="24"/>
          <w:szCs w:val="24"/>
          <w:lang w:val="en-US" w:eastAsia="zh-CN"/>
        </w:rPr>
        <w:t>监管</w:t>
      </w:r>
      <w:r>
        <w:rPr>
          <w:rFonts w:hint="default"/>
          <w:sz w:val="24"/>
          <w:szCs w:val="24"/>
          <w:lang w:val="en-US" w:eastAsia="zh-CN"/>
        </w:rPr>
        <w:t>原则</w:t>
      </w:r>
      <w:r>
        <w:rPr>
          <w:rFonts w:hint="eastAsia"/>
          <w:sz w:val="24"/>
          <w:szCs w:val="24"/>
          <w:lang w:val="en-US" w:eastAsia="zh-CN"/>
        </w:rPr>
        <w:t>。</w:t>
      </w:r>
      <w:r>
        <w:rPr>
          <w:rFonts w:hint="default"/>
          <w:sz w:val="24"/>
          <w:szCs w:val="24"/>
          <w:lang w:val="en-US" w:eastAsia="zh-CN"/>
        </w:rPr>
        <w:t>这些原则侧重于已部署人工智能技术的具体应用场景，</w:t>
      </w:r>
      <w:r>
        <w:rPr>
          <w:rFonts w:hint="eastAsia"/>
          <w:sz w:val="24"/>
          <w:szCs w:val="24"/>
          <w:lang w:val="en-US" w:eastAsia="zh-CN"/>
        </w:rPr>
        <w:t>力求</w:t>
      </w:r>
      <w:r>
        <w:rPr>
          <w:rFonts w:hint="default"/>
          <w:sz w:val="24"/>
          <w:szCs w:val="24"/>
          <w:lang w:val="en-US" w:eastAsia="zh-CN"/>
        </w:rPr>
        <w:t>在权衡收益与潜在风险方面提供了合理的方法。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中国：</w:t>
      </w:r>
      <w:r>
        <w:rPr>
          <w:rFonts w:hint="eastAsia"/>
          <w:sz w:val="24"/>
          <w:szCs w:val="24"/>
          <w:lang w:val="en-US" w:eastAsia="zh-CN"/>
        </w:rPr>
        <w:t>中国</w:t>
      </w:r>
      <w:r>
        <w:rPr>
          <w:rFonts w:hint="default"/>
          <w:sz w:val="24"/>
          <w:szCs w:val="24"/>
          <w:lang w:val="en-US" w:eastAsia="zh-CN"/>
        </w:rPr>
        <w:t>以 2030 年成为 AI 创新前沿为</w:t>
      </w:r>
      <w:r>
        <w:rPr>
          <w:rFonts w:hint="eastAsia"/>
          <w:sz w:val="24"/>
          <w:szCs w:val="24"/>
          <w:lang w:val="en-US" w:eastAsia="zh-CN"/>
        </w:rPr>
        <w:t>发展</w:t>
      </w:r>
      <w:r>
        <w:rPr>
          <w:rFonts w:hint="default"/>
          <w:sz w:val="24"/>
          <w:szCs w:val="24"/>
          <w:lang w:val="en-US" w:eastAsia="zh-CN"/>
        </w:rPr>
        <w:t>目标，监管</w:t>
      </w:r>
      <w:r>
        <w:rPr>
          <w:rFonts w:hint="eastAsia"/>
          <w:sz w:val="24"/>
          <w:szCs w:val="24"/>
          <w:lang w:val="en-US" w:eastAsia="zh-CN"/>
        </w:rPr>
        <w:t>内容主要</w:t>
      </w:r>
      <w:r>
        <w:rPr>
          <w:rFonts w:hint="default"/>
          <w:sz w:val="24"/>
          <w:szCs w:val="24"/>
          <w:lang w:val="en-US" w:eastAsia="zh-CN"/>
        </w:rPr>
        <w:t>聚焦国家安全、数据保护和算法透明</w:t>
      </w:r>
      <w:r>
        <w:rPr>
          <w:rFonts w:hint="eastAsia"/>
          <w:sz w:val="24"/>
          <w:szCs w:val="24"/>
          <w:lang w:val="en-US" w:eastAsia="zh-CN"/>
        </w:rPr>
        <w:t>。中国还积极推动构建</w:t>
      </w:r>
      <w:r>
        <w:rPr>
          <w:rFonts w:hint="default"/>
          <w:sz w:val="24"/>
          <w:szCs w:val="24"/>
          <w:lang w:val="en-US" w:eastAsia="zh-CN"/>
        </w:rPr>
        <w:t>由中央政府主导多层级执法</w:t>
      </w:r>
      <w:r>
        <w:rPr>
          <w:rFonts w:hint="eastAsia"/>
          <w:sz w:val="24"/>
          <w:szCs w:val="24"/>
          <w:lang w:val="en-US" w:eastAsia="zh-CN"/>
        </w:rPr>
        <w:t>的规制框架</w:t>
      </w:r>
      <w:r>
        <w:rPr>
          <w:rFonts w:hint="default"/>
          <w:sz w:val="24"/>
          <w:szCs w:val="24"/>
          <w:lang w:val="en-US" w:eastAsia="zh-CN"/>
        </w:rPr>
        <w:t>，处罚力度</w:t>
      </w:r>
      <w:r>
        <w:rPr>
          <w:rFonts w:hint="eastAsia"/>
          <w:sz w:val="24"/>
          <w:szCs w:val="24"/>
          <w:lang w:val="en-US" w:eastAsia="zh-CN"/>
        </w:rPr>
        <w:t>在</w:t>
      </w:r>
      <w:r>
        <w:rPr>
          <w:rFonts w:hint="default"/>
          <w:sz w:val="24"/>
          <w:szCs w:val="24"/>
          <w:lang w:val="en-US" w:eastAsia="zh-CN"/>
        </w:rPr>
        <w:t>逐</w:t>
      </w:r>
      <w:r>
        <w:rPr>
          <w:rFonts w:hint="eastAsia"/>
          <w:sz w:val="24"/>
          <w:szCs w:val="24"/>
          <w:lang w:val="en-US" w:eastAsia="zh-CN"/>
        </w:rPr>
        <w:t>年</w:t>
      </w:r>
      <w:r>
        <w:rPr>
          <w:rFonts w:hint="default"/>
          <w:sz w:val="24"/>
          <w:szCs w:val="24"/>
          <w:lang w:val="en-US" w:eastAsia="zh-CN"/>
        </w:rPr>
        <w:t>加大</w:t>
      </w:r>
      <w:r>
        <w:rPr>
          <w:rFonts w:hint="eastAsia"/>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r>
        <w:rPr>
          <w:rFonts w:hint="default"/>
          <w:sz w:val="24"/>
          <w:szCs w:val="24"/>
          <w:lang w:val="en-US" w:eastAsia="zh-CN"/>
        </w:rPr>
        <w:t>印度：</w:t>
      </w:r>
      <w:r>
        <w:rPr>
          <w:rFonts w:hint="eastAsia"/>
          <w:sz w:val="24"/>
          <w:szCs w:val="24"/>
          <w:lang w:val="en-US" w:eastAsia="zh-CN"/>
        </w:rPr>
        <w:t>印度</w:t>
      </w:r>
      <w:r>
        <w:rPr>
          <w:rFonts w:hint="default"/>
          <w:sz w:val="24"/>
          <w:szCs w:val="24"/>
          <w:lang w:val="en-US" w:eastAsia="zh-CN"/>
        </w:rPr>
        <w:t>暂无专属</w:t>
      </w:r>
      <w:r>
        <w:rPr>
          <w:rFonts w:hint="eastAsia"/>
          <w:sz w:val="24"/>
          <w:szCs w:val="24"/>
          <w:lang w:val="en-US" w:eastAsia="zh-CN"/>
        </w:rPr>
        <w:t>的</w:t>
      </w:r>
      <w:r>
        <w:rPr>
          <w:rFonts w:hint="default"/>
          <w:sz w:val="24"/>
          <w:szCs w:val="24"/>
          <w:lang w:val="en-US" w:eastAsia="zh-CN"/>
        </w:rPr>
        <w:t>医疗 AI 法律</w:t>
      </w:r>
      <w:r>
        <w:rPr>
          <w:rFonts w:hint="eastAsia"/>
          <w:sz w:val="24"/>
          <w:szCs w:val="24"/>
          <w:lang w:val="en-US" w:eastAsia="zh-CN"/>
        </w:rPr>
        <w:t>规范。因此印度主要以</w:t>
      </w:r>
      <w:r>
        <w:rPr>
          <w:rFonts w:hint="default"/>
          <w:sz w:val="24"/>
          <w:szCs w:val="24"/>
          <w:lang w:val="en-US" w:eastAsia="zh-CN"/>
        </w:rPr>
        <w:t>现有医药、数据法规</w:t>
      </w:r>
      <w:r>
        <w:rPr>
          <w:rFonts w:hint="eastAsia"/>
          <w:sz w:val="24"/>
          <w:szCs w:val="24"/>
          <w:lang w:val="en-US" w:eastAsia="zh-CN"/>
        </w:rPr>
        <w:t>为基础</w:t>
      </w:r>
      <w:r>
        <w:rPr>
          <w:rFonts w:hint="default"/>
          <w:sz w:val="24"/>
          <w:szCs w:val="24"/>
          <w:lang w:val="en-US" w:eastAsia="zh-CN"/>
        </w:rPr>
        <w:t>构建</w:t>
      </w:r>
      <w:r>
        <w:rPr>
          <w:rFonts w:hint="eastAsia"/>
          <w:sz w:val="24"/>
          <w:szCs w:val="24"/>
          <w:lang w:val="en-US" w:eastAsia="zh-CN"/>
        </w:rPr>
        <w:t>相应的医疗AI规制</w:t>
      </w:r>
      <w:r>
        <w:rPr>
          <w:rFonts w:hint="default"/>
          <w:sz w:val="24"/>
          <w:szCs w:val="24"/>
          <w:lang w:val="en-US" w:eastAsia="zh-CN"/>
        </w:rPr>
        <w:t>框架</w:t>
      </w:r>
      <w:r>
        <w:rPr>
          <w:rFonts w:hint="eastAsia"/>
          <w:sz w:val="24"/>
          <w:szCs w:val="24"/>
          <w:lang w:val="en-US" w:eastAsia="zh-CN"/>
        </w:rPr>
        <w:t>。当前，印度</w:t>
      </w:r>
      <w:r>
        <w:rPr>
          <w:rFonts w:hint="default"/>
          <w:sz w:val="24"/>
          <w:szCs w:val="24"/>
          <w:lang w:val="en-US" w:eastAsia="zh-CN"/>
        </w:rPr>
        <w:t>侧重</w:t>
      </w:r>
      <w:r>
        <w:rPr>
          <w:rFonts w:hint="eastAsia"/>
          <w:sz w:val="24"/>
          <w:szCs w:val="24"/>
          <w:lang w:val="en-US" w:eastAsia="zh-CN"/>
        </w:rPr>
        <w:t>于</w:t>
      </w:r>
      <w:r>
        <w:rPr>
          <w:rFonts w:hint="default"/>
          <w:sz w:val="24"/>
          <w:szCs w:val="24"/>
          <w:lang w:val="en-US" w:eastAsia="zh-CN"/>
        </w:rPr>
        <w:t>鼓励行业自愿遵循伦理准则</w:t>
      </w:r>
      <w:r>
        <w:rPr>
          <w:rFonts w:hint="eastAsia"/>
          <w:sz w:val="24"/>
          <w:szCs w:val="24"/>
          <w:lang w:val="en-US" w:eastAsia="zh-CN"/>
        </w:rPr>
        <w:t>和最佳实践。</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eastAsia"/>
          <w:sz w:val="24"/>
          <w:szCs w:val="24"/>
          <w:lang w:val="en-US" w:eastAsia="zh-CN"/>
        </w:rPr>
        <w:t>日本：日本现实尚未存在独立的人工智能法规，而是通过已经建立的设备和数据法律框架进行监管，包括产品上市前审查、强制性警戒/召回报告、检查和指令、机器学习变更的生命周期控制、经认证的数据治理，以及必要时的刑事/行政处罚等措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lang w:val="en-US" w:eastAsia="zh-CN"/>
        </w:rPr>
        <w:t>加拿大</w:t>
      </w:r>
      <w:r>
        <w:rPr>
          <w:rFonts w:hint="eastAsia"/>
          <w:sz w:val="24"/>
          <w:szCs w:val="24"/>
          <w:lang w:val="en-US" w:eastAsia="zh-CN"/>
        </w:rPr>
        <w:t>：加拿大对医疗保健领域人工智能的监管是通过加拿大卫生部的医疗器械监管体系进行的：用于诊断、治疗、监测或决策支持的人工智能/机器学习系统，均依据《食品药品法》（Food and Drugs Act）和《医疗器械法规》</w:t>
      </w:r>
      <w:r>
        <w:rPr>
          <w:rFonts w:hint="default"/>
          <w:sz w:val="24"/>
          <w:szCs w:val="24"/>
          <w:lang w:val="en-US" w:eastAsia="zh-CN"/>
        </w:rPr>
        <w:t>(</w:t>
      </w:r>
      <w:r>
        <w:rPr>
          <w:rFonts w:hint="eastAsia"/>
          <w:sz w:val="24"/>
          <w:szCs w:val="24"/>
          <w:lang w:val="en-US" w:eastAsia="zh-CN"/>
        </w:rPr>
        <w:t>Medical Devices Regulations</w:t>
      </w:r>
      <w:r>
        <w:rPr>
          <w:rFonts w:hint="default"/>
          <w:sz w:val="24"/>
          <w:szCs w:val="24"/>
          <w:lang w:val="en-US" w:eastAsia="zh-CN"/>
        </w:rPr>
        <w:t>)</w:t>
      </w:r>
      <w:r>
        <w:rPr>
          <w:rFonts w:hint="eastAsia"/>
          <w:sz w:val="24"/>
          <w:szCs w:val="24"/>
          <w:lang w:val="en-US" w:eastAsia="zh-CN"/>
        </w:rPr>
        <w:t>进行监管</w:t>
      </w:r>
      <w:r>
        <w:rPr>
          <w:rFonts w:hint="default"/>
          <w:sz w:val="24"/>
          <w:szCs w:val="24"/>
          <w:lang w:val="en-US" w:eastAsia="zh-CN"/>
        </w:rPr>
        <w:t>。</w:t>
      </w:r>
      <w:r>
        <w:rPr>
          <w:rFonts w:hint="eastAsia"/>
          <w:sz w:val="24"/>
          <w:szCs w:val="24"/>
          <w:lang w:val="en-US" w:eastAsia="zh-CN"/>
        </w:rPr>
        <w:t>加拿大监管框架采用基于风险的合规与执法机制，包括采取检查、停止销售、暂停/吊销许可证、召回等措施</w:t>
      </w:r>
      <w:r>
        <w:rPr>
          <w:rFonts w:hint="default"/>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ind w:left="0" w:leftChars="0" w:firstLine="480" w:firstLineChars="200"/>
        <w:textAlignment w:val="auto"/>
        <w:rPr>
          <w:rFonts w:hint="default"/>
          <w:sz w:val="24"/>
          <w:szCs w:val="24"/>
          <w:lang w:val="en-US" w:eastAsia="zh-CN"/>
        </w:rPr>
      </w:pPr>
      <w:r>
        <w:rPr>
          <w:rFonts w:hint="default"/>
          <w:sz w:val="24"/>
          <w:szCs w:val="24"/>
          <w:lang w:val="en-US" w:eastAsia="zh-CN"/>
        </w:rPr>
        <w:t>全球医疗 AI 监管</w:t>
      </w:r>
      <w:r>
        <w:rPr>
          <w:rFonts w:hint="eastAsia"/>
          <w:sz w:val="24"/>
          <w:szCs w:val="24"/>
          <w:lang w:val="en-US" w:eastAsia="zh-CN"/>
        </w:rPr>
        <w:t>存在</w:t>
      </w:r>
      <w:r>
        <w:rPr>
          <w:rFonts w:hint="default"/>
          <w:sz w:val="24"/>
          <w:szCs w:val="24"/>
          <w:lang w:val="en-US" w:eastAsia="zh-CN"/>
        </w:rPr>
        <w:t>的分歧</w:t>
      </w:r>
    </w:p>
    <w:p>
      <w:pPr>
        <w:keepNext w:val="0"/>
        <w:keepLines w:val="0"/>
        <w:pageBreakBefore w:val="0"/>
        <w:widowControl w:val="0"/>
        <w:numPr>
          <w:ilvl w:val="0"/>
          <w:numId w:val="0"/>
        </w:numPr>
        <w:kinsoku/>
        <w:wordWrap/>
        <w:overflowPunct/>
        <w:topLinePunct w:val="0"/>
        <w:autoSpaceDE/>
        <w:autoSpaceDN/>
        <w:bidi w:val="0"/>
        <w:adjustRightInd/>
        <w:snapToGrid/>
        <w:ind w:left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r>
        <w:rPr>
          <w:rFonts w:hint="eastAsia"/>
          <w:sz w:val="24"/>
          <w:szCs w:val="24"/>
          <w:lang w:val="en-US" w:eastAsia="zh-CN"/>
        </w:rPr>
        <w:t>文章提到各国的</w:t>
      </w:r>
      <w:r>
        <w:rPr>
          <w:rFonts w:hint="default"/>
          <w:sz w:val="24"/>
          <w:szCs w:val="24"/>
          <w:lang w:val="en-US" w:eastAsia="zh-CN"/>
        </w:rPr>
        <w:t>监管理念差异</w:t>
      </w:r>
      <w:r>
        <w:rPr>
          <w:rFonts w:hint="eastAsia"/>
          <w:sz w:val="24"/>
          <w:szCs w:val="24"/>
          <w:lang w:val="en-US" w:eastAsia="zh-CN"/>
        </w:rPr>
        <w:t>较大</w:t>
      </w:r>
      <w:r>
        <w:rPr>
          <w:rFonts w:hint="default"/>
          <w:sz w:val="24"/>
          <w:szCs w:val="24"/>
          <w:lang w:val="en-US" w:eastAsia="zh-CN"/>
        </w:rPr>
        <w:t>：欧盟偏 “严格约束”</w:t>
      </w:r>
      <w:r>
        <w:rPr>
          <w:rFonts w:hint="eastAsia"/>
          <w:sz w:val="24"/>
          <w:szCs w:val="24"/>
          <w:lang w:val="en-US" w:eastAsia="zh-CN"/>
        </w:rPr>
        <w:t>的立法倾向</w:t>
      </w:r>
      <w:r>
        <w:rPr>
          <w:rFonts w:hint="default"/>
          <w:sz w:val="24"/>
          <w:szCs w:val="24"/>
          <w:lang w:val="en-US" w:eastAsia="zh-CN"/>
        </w:rPr>
        <w:t>，美、英偏 “</w:t>
      </w:r>
      <w:r>
        <w:rPr>
          <w:rFonts w:hint="eastAsia"/>
          <w:sz w:val="24"/>
          <w:szCs w:val="24"/>
          <w:lang w:val="en-US" w:eastAsia="zh-CN"/>
        </w:rPr>
        <w:t>重</w:t>
      </w:r>
      <w:r>
        <w:rPr>
          <w:rFonts w:hint="default"/>
          <w:sz w:val="24"/>
          <w:szCs w:val="24"/>
          <w:lang w:val="en-US" w:eastAsia="zh-CN"/>
        </w:rPr>
        <w:t>创新、轻监管”</w:t>
      </w:r>
      <w:r>
        <w:rPr>
          <w:rFonts w:hint="eastAsia"/>
          <w:sz w:val="24"/>
          <w:szCs w:val="24"/>
          <w:lang w:val="en-US" w:eastAsia="zh-CN"/>
        </w:rPr>
        <w:t>的路线以促进技术快速发展</w:t>
      </w:r>
      <w:r>
        <w:rPr>
          <w:rFonts w:hint="default"/>
          <w:sz w:val="24"/>
          <w:szCs w:val="24"/>
          <w:lang w:val="en-US" w:eastAsia="zh-CN"/>
        </w:rPr>
        <w:t>，</w:t>
      </w:r>
      <w:r>
        <w:rPr>
          <w:rFonts w:hint="eastAsia"/>
          <w:sz w:val="24"/>
          <w:szCs w:val="24"/>
          <w:lang w:val="en-US" w:eastAsia="zh-CN"/>
        </w:rPr>
        <w:t>而</w:t>
      </w:r>
      <w:r>
        <w:rPr>
          <w:rFonts w:hint="default"/>
          <w:sz w:val="24"/>
          <w:szCs w:val="24"/>
          <w:lang w:val="en-US" w:eastAsia="zh-CN"/>
        </w:rPr>
        <w:t>发展中国家则</w:t>
      </w:r>
      <w:r>
        <w:rPr>
          <w:rFonts w:hint="eastAsia"/>
          <w:sz w:val="24"/>
          <w:szCs w:val="24"/>
          <w:lang w:val="en-US" w:eastAsia="zh-CN"/>
        </w:rPr>
        <w:t>更</w:t>
      </w:r>
      <w:r>
        <w:rPr>
          <w:rFonts w:hint="default"/>
          <w:sz w:val="24"/>
          <w:szCs w:val="24"/>
          <w:lang w:val="en-US" w:eastAsia="zh-CN"/>
        </w:rPr>
        <w:t>聚焦</w:t>
      </w:r>
      <w:r>
        <w:rPr>
          <w:rFonts w:hint="eastAsia"/>
          <w:sz w:val="24"/>
          <w:szCs w:val="24"/>
          <w:lang w:val="en-US" w:eastAsia="zh-CN"/>
        </w:rPr>
        <w:t>于</w:t>
      </w:r>
      <w:r>
        <w:rPr>
          <w:rFonts w:hint="default"/>
          <w:sz w:val="24"/>
          <w:szCs w:val="24"/>
          <w:lang w:val="en-US" w:eastAsia="zh-CN"/>
        </w:rPr>
        <w:t>技术可及性</w:t>
      </w:r>
      <w:r>
        <w:rPr>
          <w:rFonts w:hint="eastAsia"/>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eastAsia"/>
          <w:sz w:val="24"/>
          <w:szCs w:val="24"/>
          <w:lang w:val="en-US" w:eastAsia="zh-CN"/>
        </w:rPr>
        <w:t>在现有法律规范方面，</w:t>
      </w:r>
      <w:r>
        <w:rPr>
          <w:rFonts w:hint="default"/>
          <w:sz w:val="24"/>
          <w:szCs w:val="24"/>
          <w:lang w:val="en-US" w:eastAsia="zh-CN"/>
        </w:rPr>
        <w:t>欧盟有综合性 AI 法</w:t>
      </w:r>
      <w:r>
        <w:rPr>
          <w:rFonts w:hint="eastAsia"/>
          <w:sz w:val="24"/>
          <w:szCs w:val="24"/>
          <w:lang w:val="en-US" w:eastAsia="zh-CN"/>
        </w:rPr>
        <w:t>（</w:t>
      </w:r>
      <w:r>
        <w:rPr>
          <w:rFonts w:hint="default"/>
          <w:sz w:val="24"/>
          <w:szCs w:val="24"/>
          <w:lang w:val="en-US" w:eastAsia="zh-CN"/>
        </w:rPr>
        <w:t>EU AI Act</w:t>
      </w:r>
      <w:r>
        <w:rPr>
          <w:rFonts w:hint="eastAsia"/>
          <w:sz w:val="24"/>
          <w:szCs w:val="24"/>
          <w:lang w:val="en-US" w:eastAsia="zh-CN"/>
        </w:rPr>
        <w:t>），</w:t>
      </w:r>
      <w:r>
        <w:rPr>
          <w:rFonts w:hint="default"/>
          <w:sz w:val="24"/>
          <w:szCs w:val="24"/>
          <w:lang w:val="en-US" w:eastAsia="zh-CN"/>
        </w:rPr>
        <w:t>美国</w:t>
      </w:r>
      <w:r>
        <w:rPr>
          <w:rFonts w:hint="eastAsia"/>
          <w:sz w:val="24"/>
          <w:szCs w:val="24"/>
          <w:lang w:val="en-US" w:eastAsia="zh-CN"/>
        </w:rPr>
        <w:t>暂时没有制定</w:t>
      </w:r>
      <w:r>
        <w:rPr>
          <w:rFonts w:hint="default"/>
          <w:sz w:val="24"/>
          <w:szCs w:val="24"/>
          <w:lang w:val="en-US" w:eastAsia="zh-CN"/>
        </w:rPr>
        <w:t>统一全国</w:t>
      </w:r>
      <w:r>
        <w:rPr>
          <w:rFonts w:hint="eastAsia"/>
          <w:sz w:val="24"/>
          <w:szCs w:val="24"/>
          <w:lang w:val="en-US" w:eastAsia="zh-CN"/>
        </w:rPr>
        <w:t>的法律法规</w:t>
      </w:r>
      <w:r>
        <w:rPr>
          <w:rFonts w:hint="default"/>
          <w:sz w:val="24"/>
          <w:szCs w:val="24"/>
          <w:lang w:val="en-US" w:eastAsia="zh-CN"/>
        </w:rPr>
        <w:t>，印度等发展中国家</w:t>
      </w:r>
      <w:r>
        <w:rPr>
          <w:rFonts w:hint="eastAsia"/>
          <w:sz w:val="24"/>
          <w:szCs w:val="24"/>
          <w:lang w:val="en-US" w:eastAsia="zh-CN"/>
        </w:rPr>
        <w:t>的</w:t>
      </w:r>
      <w:r>
        <w:rPr>
          <w:rFonts w:hint="default"/>
          <w:sz w:val="24"/>
          <w:szCs w:val="24"/>
          <w:lang w:val="en-US" w:eastAsia="zh-CN"/>
        </w:rPr>
        <w:t>框架</w:t>
      </w:r>
      <w:r>
        <w:rPr>
          <w:rFonts w:hint="eastAsia"/>
          <w:sz w:val="24"/>
          <w:szCs w:val="24"/>
          <w:lang w:val="en-US" w:eastAsia="zh-CN"/>
        </w:rPr>
        <w:t>体系</w:t>
      </w:r>
      <w:r>
        <w:rPr>
          <w:rFonts w:hint="default"/>
          <w:sz w:val="24"/>
          <w:szCs w:val="24"/>
          <w:lang w:val="en-US" w:eastAsia="zh-CN"/>
        </w:rPr>
        <w:t>仍</w:t>
      </w:r>
      <w:r>
        <w:rPr>
          <w:rFonts w:hint="eastAsia"/>
          <w:sz w:val="24"/>
          <w:szCs w:val="24"/>
          <w:lang w:val="en-US" w:eastAsia="zh-CN"/>
        </w:rPr>
        <w:t>存</w:t>
      </w:r>
      <w:r>
        <w:rPr>
          <w:rFonts w:hint="default"/>
          <w:sz w:val="24"/>
          <w:szCs w:val="24"/>
          <w:lang w:val="en-US" w:eastAsia="zh-CN"/>
        </w:rPr>
        <w:t>在</w:t>
      </w:r>
      <w:r>
        <w:rPr>
          <w:rFonts w:hint="eastAsia"/>
          <w:sz w:val="24"/>
          <w:szCs w:val="24"/>
          <w:lang w:val="en-US" w:eastAsia="zh-CN"/>
        </w:rPr>
        <w:t>缺陷，还在积极</w:t>
      </w:r>
      <w:r>
        <w:rPr>
          <w:rFonts w:hint="default"/>
          <w:sz w:val="24"/>
          <w:szCs w:val="24"/>
          <w:lang w:val="en-US" w:eastAsia="zh-CN"/>
        </w:rPr>
        <w:t>完善</w:t>
      </w:r>
      <w:r>
        <w:rPr>
          <w:rFonts w:hint="eastAsia"/>
          <w:sz w:val="24"/>
          <w:szCs w:val="24"/>
          <w:lang w:val="en-US" w:eastAsia="zh-CN"/>
        </w:rPr>
        <w:t>法律规制框架中。</w:t>
      </w:r>
      <w:r>
        <w:rPr>
          <w:rFonts w:hint="default"/>
          <w:sz w:val="24"/>
          <w:szCs w:val="24"/>
          <w:lang w:val="en-US" w:eastAsia="zh-CN"/>
        </w:rPr>
        <w:t>非洲国家受互联网基础设施限制，难以参与 AI 发展，</w:t>
      </w:r>
      <w:r>
        <w:rPr>
          <w:rFonts w:hint="eastAsia"/>
          <w:sz w:val="24"/>
          <w:szCs w:val="24"/>
          <w:lang w:val="en-US" w:eastAsia="zh-CN"/>
        </w:rPr>
        <w:t>其</w:t>
      </w:r>
      <w:r>
        <w:rPr>
          <w:rFonts w:hint="default"/>
          <w:sz w:val="24"/>
          <w:szCs w:val="24"/>
          <w:lang w:val="en-US" w:eastAsia="zh-CN"/>
        </w:rPr>
        <w:t>与发达国家的技术和监管差距显著</w:t>
      </w:r>
      <w:r>
        <w:rPr>
          <w:rFonts w:hint="eastAsia"/>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numPr>
          <w:ilvl w:val="0"/>
          <w:numId w:val="1"/>
        </w:numPr>
        <w:kinsoku/>
        <w:wordWrap/>
        <w:overflowPunct/>
        <w:topLinePunct w:val="0"/>
        <w:autoSpaceDE/>
        <w:autoSpaceDN/>
        <w:bidi w:val="0"/>
        <w:adjustRightInd w:val="0"/>
        <w:snapToGrid w:val="0"/>
        <w:spacing w:beforeAutospacing="0" w:afterAutospacing="0"/>
        <w:ind w:left="0" w:leftChars="0" w:firstLine="482" w:firstLineChars="200"/>
        <w:jc w:val="left"/>
        <w:textAlignment w:val="auto"/>
        <w:rPr>
          <w:rFonts w:ascii="仿宋" w:hAnsi="仿宋" w:eastAsia="仿宋" w:cs="Times New Roman"/>
          <w:b/>
          <w:bCs/>
          <w:kern w:val="0"/>
          <w:sz w:val="24"/>
          <w:highlight w:val="yellow"/>
        </w:rPr>
      </w:pPr>
      <w:r>
        <w:rPr>
          <w:rFonts w:hint="eastAsia" w:ascii="仿宋" w:hAnsi="仿宋" w:eastAsia="仿宋" w:cs="Times New Roman"/>
          <w:b/>
          <w:bCs/>
          <w:kern w:val="0"/>
          <w:sz w:val="24"/>
          <w:highlight w:val="yellow"/>
        </w:rPr>
        <w:t>文章</w:t>
      </w:r>
      <w:r>
        <w:rPr>
          <w:rFonts w:ascii="仿宋" w:hAnsi="仿宋" w:eastAsia="仿宋" w:cs="Times New Roman"/>
          <w:b/>
          <w:bCs/>
          <w:kern w:val="0"/>
          <w:sz w:val="24"/>
          <w:highlight w:val="yellow"/>
        </w:rPr>
        <w:t>主要观点：</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sz w:val="24"/>
          <w:szCs w:val="24"/>
          <w:lang w:val="en-US" w:eastAsia="zh-CN"/>
        </w:rPr>
      </w:pPr>
    </w:p>
    <w:p>
      <w:pPr>
        <w:keepNext w:val="0"/>
        <w:keepLines w:val="0"/>
        <w:pageBreakBefore w:val="0"/>
        <w:widowControl w:val="0"/>
        <w:numPr>
          <w:ilvl w:val="-1"/>
          <w:numId w:val="0"/>
        </w:numPr>
        <w:kinsoku/>
        <w:wordWrap/>
        <w:overflowPunct/>
        <w:topLinePunct w:val="0"/>
        <w:autoSpaceDE/>
        <w:autoSpaceDN/>
        <w:bidi w:val="0"/>
        <w:adjustRightInd/>
        <w:snapToGrid/>
        <w:ind w:leftChars="0" w:firstLine="480"/>
        <w:textAlignment w:val="auto"/>
        <w:rPr>
          <w:rFonts w:hint="eastAsia"/>
          <w:sz w:val="24"/>
          <w:szCs w:val="24"/>
          <w:lang w:val="en-US" w:eastAsia="zh-CN"/>
        </w:rPr>
      </w:pPr>
      <w:r>
        <w:rPr>
          <w:rFonts w:hint="eastAsia"/>
          <w:sz w:val="24"/>
          <w:szCs w:val="24"/>
          <w:lang w:val="en-US" w:eastAsia="zh-CN"/>
        </w:rPr>
        <w:t>该文章主张应当以《赫尔辛基宣言》为参考基准，对医疗 AI 的治理设定合理、可操作的伦理原则。《宣言》认为伦理与人权、专业技术标准等深度绑定，核心内容主要包括：不伤害、有益性、公平正义、尊重自主、保护隐私。鉴于伦理原则并非总是明确讨论技术使用方面的限制，如果人工智能赋能的健康技术侵犯或危害人权、不符合既定原则或法规、过早引入或与预期用途无关，政府应限制其使用。随着人工智能赋能的健康技术正逐步走向无国界的状态，私营主体利益相关者有责任尊重人权。私营主体应当警惕将商业利益置于患者权利之上，以至于破坏信任、问责制度和透明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r>
        <w:rPr>
          <w:rFonts w:hint="eastAsia"/>
          <w:sz w:val="24"/>
          <w:szCs w:val="24"/>
          <w:lang w:val="en-US" w:eastAsia="zh-CN"/>
        </w:rPr>
        <w:t>结合以上分析，文章指出，随着个人数据存储使用量的增加及其相关数据安全风险的出现，尤其是在人工智能兴起、基因数据收集、去标识化数据重新识别能力以及这些数据可能被商业和/或政治滥用等背景下，2024年修订的《赫尔辛基宣言》对知情同意要求和研究参与者保护的考虑仍有不足。当今，《赫尔辛基宣言》的落实需要一个动态且具有适应性的国际治理框架，由一个监管机构负责监督。该机构将制定全球人工智能政策，并负责根据人工智能技术的迅猛发展，及时监测并推进相关法规的建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numPr>
          <w:ilvl w:val="0"/>
          <w:numId w:val="1"/>
        </w:numPr>
        <w:kinsoku/>
        <w:wordWrap/>
        <w:overflowPunct/>
        <w:topLinePunct w:val="0"/>
        <w:autoSpaceDE/>
        <w:autoSpaceDN/>
        <w:bidi w:val="0"/>
        <w:adjustRightInd w:val="0"/>
        <w:snapToGrid w:val="0"/>
        <w:spacing w:beforeAutospacing="0" w:afterAutospacing="0"/>
        <w:ind w:left="0" w:leftChars="0" w:firstLine="482" w:firstLineChars="200"/>
        <w:jc w:val="left"/>
        <w:textAlignment w:val="auto"/>
        <w:rPr>
          <w:rFonts w:ascii="仿宋" w:hAnsi="仿宋" w:eastAsia="仿宋" w:cs="Times New Roman"/>
          <w:b/>
          <w:bCs/>
          <w:kern w:val="0"/>
          <w:sz w:val="24"/>
          <w:highlight w:val="yellow"/>
        </w:rPr>
      </w:pPr>
      <w:r>
        <w:rPr>
          <w:rFonts w:hint="eastAsia" w:ascii="仿宋" w:hAnsi="仿宋" w:eastAsia="仿宋" w:cs="Times New Roman"/>
          <w:b/>
          <w:bCs/>
          <w:kern w:val="0"/>
          <w:sz w:val="24"/>
          <w:highlight w:val="yellow"/>
        </w:rPr>
        <w:t>i</w:t>
      </w:r>
      <w:r>
        <w:rPr>
          <w:rFonts w:ascii="仿宋" w:hAnsi="仿宋" w:eastAsia="仿宋" w:cs="Times New Roman"/>
          <w:b/>
          <w:bCs/>
          <w:kern w:val="0"/>
          <w:sz w:val="24"/>
          <w:highlight w:val="yellow"/>
        </w:rPr>
        <w:t>BioLaw</w:t>
      </w:r>
      <w:r>
        <w:rPr>
          <w:rFonts w:hint="eastAsia" w:ascii="仿宋" w:hAnsi="仿宋" w:eastAsia="仿宋" w:cs="Times New Roman"/>
          <w:b/>
          <w:bCs/>
          <w:kern w:val="0"/>
          <w:sz w:val="24"/>
          <w:highlight w:val="yellow"/>
        </w:rPr>
        <w:t>分</w:t>
      </w:r>
      <w:r>
        <w:rPr>
          <w:rFonts w:ascii="仿宋" w:hAnsi="仿宋" w:eastAsia="仿宋" w:cs="Times New Roman"/>
          <w:b/>
          <w:bCs/>
          <w:kern w:val="0"/>
          <w:sz w:val="24"/>
          <w:highlight w:val="yellow"/>
        </w:rPr>
        <w:t>析点评：</w:t>
      </w:r>
    </w:p>
    <w:p>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ind w:leftChars="200"/>
        <w:jc w:val="left"/>
        <w:textAlignment w:val="auto"/>
        <w:rPr>
          <w:rFonts w:ascii="仿宋" w:hAnsi="仿宋" w:eastAsia="仿宋" w:cs="Times New Roman"/>
          <w:b/>
          <w:bCs/>
          <w:kern w:val="0"/>
          <w:sz w:val="24"/>
          <w:highlight w:val="yellow"/>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r>
        <w:rPr>
          <w:rFonts w:hint="eastAsia"/>
          <w:sz w:val="24"/>
          <w:szCs w:val="24"/>
          <w:lang w:val="en-US" w:eastAsia="zh-CN"/>
        </w:rPr>
        <w:t>本文的价值在于跳出了单一国家的监管讨论视角，以风险适配、伦理先行、全球协同为理论核心，将医疗 AI 的技术发展与人类基本权利、患者安全与隐私等国际通行的伦理要求进行深度绑定。该文章既剖析了当前生命科学发展较为迅速的7个国家或地区针对医疗AI治理的监管体系构建，也分析了当前全球医疗 AI 治理的共同困境，即政策碎片化、伦理指导模糊、商业利益与患者权益的平衡难题。文章行文以《赫尔辛基宣言》为伦理锚点，在分析各国规制现状时始终注意 “以人为本” 的分析视角。在进行详细分析的基础上，文章提出的适应性国际治理框架、全生命周期监管要求等实践性建议，让全球协同治理从理念落地为可操作的具体行动路径。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r>
        <w:rPr>
          <w:rFonts w:hint="eastAsia"/>
          <w:sz w:val="24"/>
          <w:szCs w:val="24"/>
          <w:lang w:val="en-US" w:eastAsia="zh-CN"/>
        </w:rPr>
        <w:t>在医疗 AI 技术加速迭代、全球数字鸿沟仍待弥合的当下，这篇文章的研究成果是对当下全球医疗健康领域 AI 治理现状的一次系统性梳理。这份研究不仅为该领域AI 治理领域的政策制定者搭建起全球视野下的监管参考指南，也为未来各国打破政策壁垒、推动技术普惠、实现医疗健康领域中“安全创新与权益保护并重”的AI 发展目标提供兼具理论深度与实践价值的重要指引。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beforeAutospacing="0" w:afterAutospacing="0"/>
        <w:jc w:val="left"/>
        <w:textAlignment w:val="auto"/>
        <w:rPr>
          <w:rFonts w:ascii="仿宋" w:hAnsi="仿宋" w:eastAsia="仿宋" w:cs="Times New Roman"/>
          <w:kern w:val="0"/>
          <w:sz w:val="24"/>
          <w:highlight w:val="yellow"/>
        </w:rPr>
      </w:pPr>
      <w:r>
        <w:rPr>
          <w:rFonts w:hint="eastAsia" w:ascii="仿宋" w:hAnsi="仿宋" w:eastAsia="仿宋" w:cs="Times New Roman"/>
          <w:kern w:val="0"/>
          <w:sz w:val="24"/>
          <w:highlight w:val="yellow"/>
        </w:rPr>
        <w:t>文章链接：</w:t>
      </w:r>
    </w:p>
    <w:p>
      <w:pPr>
        <w:keepNext w:val="0"/>
        <w:keepLines w:val="0"/>
        <w:pageBreakBefore w:val="0"/>
        <w:widowControl w:val="0"/>
        <w:kinsoku/>
        <w:wordWrap/>
        <w:overflowPunct/>
        <w:topLinePunct w:val="0"/>
        <w:autoSpaceDE/>
        <w:autoSpaceDN/>
        <w:bidi w:val="0"/>
        <w:adjustRightInd/>
        <w:snapToGrid/>
        <w:textAlignment w:val="auto"/>
        <w:rPr>
          <w:rFonts w:hint="default"/>
          <w:sz w:val="24"/>
          <w:szCs w:val="24"/>
          <w:lang w:val="en-US" w:eastAsia="zh-CN"/>
        </w:rPr>
      </w:pPr>
      <w:r>
        <w:rPr>
          <w:rFonts w:hint="default"/>
          <w:sz w:val="24"/>
          <w:szCs w:val="24"/>
          <w:lang w:val="en-US" w:eastAsia="zh-CN"/>
        </w:rPr>
        <w:t>https://pmc.ncbi.nlm.nih.gov/articles/PMC12914512/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SimSun">
    <w:altName w:val="汉仪书宋二KW"/>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C55B9C"/>
    <w:multiLevelType w:val="singleLevel"/>
    <w:tmpl w:val="A9C55B9C"/>
    <w:lvl w:ilvl="0" w:tentative="0">
      <w:start w:val="1"/>
      <w:numFmt w:val="decimal"/>
      <w:lvlText w:val="%1."/>
      <w:lvlJc w:val="left"/>
      <w:pPr>
        <w:tabs>
          <w:tab w:val="left" w:pos="312"/>
        </w:tabs>
      </w:pPr>
    </w:lvl>
  </w:abstractNum>
  <w:abstractNum w:abstractNumId="1">
    <w:nsid w:val="740E971F"/>
    <w:multiLevelType w:val="singleLevel"/>
    <w:tmpl w:val="740E971F"/>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6E4D76"/>
    <w:rsid w:val="013D4B60"/>
    <w:rsid w:val="02387D63"/>
    <w:rsid w:val="09C0608D"/>
    <w:rsid w:val="0AFA13CC"/>
    <w:rsid w:val="0B9C3089"/>
    <w:rsid w:val="0BE81B6C"/>
    <w:rsid w:val="0D3861DB"/>
    <w:rsid w:val="0DF53356"/>
    <w:rsid w:val="1C497DA3"/>
    <w:rsid w:val="1E93077E"/>
    <w:rsid w:val="22B07872"/>
    <w:rsid w:val="25495F60"/>
    <w:rsid w:val="2573587F"/>
    <w:rsid w:val="25AE3087"/>
    <w:rsid w:val="25EE7927"/>
    <w:rsid w:val="26B40B71"/>
    <w:rsid w:val="289F663F"/>
    <w:rsid w:val="293146FB"/>
    <w:rsid w:val="2A721908"/>
    <w:rsid w:val="2B814404"/>
    <w:rsid w:val="2D5E0C89"/>
    <w:rsid w:val="2DFA1971"/>
    <w:rsid w:val="34D66716"/>
    <w:rsid w:val="37FB9D7F"/>
    <w:rsid w:val="38C03C2B"/>
    <w:rsid w:val="3AA26EF5"/>
    <w:rsid w:val="46496076"/>
    <w:rsid w:val="470250DD"/>
    <w:rsid w:val="47506B3A"/>
    <w:rsid w:val="47DB4F7E"/>
    <w:rsid w:val="511922CC"/>
    <w:rsid w:val="52200B5C"/>
    <w:rsid w:val="576A51AE"/>
    <w:rsid w:val="5A8764B0"/>
    <w:rsid w:val="5B4E6197"/>
    <w:rsid w:val="5B8227ED"/>
    <w:rsid w:val="5DBA1450"/>
    <w:rsid w:val="5E666302"/>
    <w:rsid w:val="624C11F7"/>
    <w:rsid w:val="65A708CA"/>
    <w:rsid w:val="6692787F"/>
    <w:rsid w:val="66AA700F"/>
    <w:rsid w:val="69BE2739"/>
    <w:rsid w:val="69FF5CDF"/>
    <w:rsid w:val="6B6E4D76"/>
    <w:rsid w:val="6F2D6397"/>
    <w:rsid w:val="70017C18"/>
    <w:rsid w:val="7339B291"/>
    <w:rsid w:val="7727CFFA"/>
    <w:rsid w:val="79556C16"/>
    <w:rsid w:val="7C8D1F55"/>
    <w:rsid w:val="7CF16B5A"/>
    <w:rsid w:val="7D2B3E17"/>
    <w:rsid w:val="7D76A137"/>
    <w:rsid w:val="7DA56D09"/>
    <w:rsid w:val="7F3CE5B9"/>
    <w:rsid w:val="A2CE6BA7"/>
    <w:rsid w:val="BFEFAF9A"/>
    <w:rsid w:val="E6BF5AD1"/>
    <w:rsid w:val="F2FF2F13"/>
    <w:rsid w:val="F8B786AD"/>
    <w:rsid w:val="FEEB8C91"/>
    <w:rsid w:val="FF4B0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widowControl w:val="0"/>
      <w:kinsoku/>
      <w:wordWrap/>
      <w:overflowPunct/>
      <w:topLinePunct w:val="0"/>
      <w:autoSpaceDE/>
      <w:autoSpaceDN/>
      <w:bidi w:val="0"/>
      <w:adjustRightInd/>
      <w:snapToGrid/>
      <w:ind w:firstLine="420" w:firstLineChars="200"/>
      <w:jc w:val="both"/>
      <w:textAlignment w:val="auto"/>
    </w:pPr>
    <w:rPr>
      <w:rFonts w:ascii="Times New Roman" w:hAnsi="Times New Roman" w:eastAsia="仿宋" w:cstheme="minorBidi"/>
      <w:kern w:val="2"/>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character" w:styleId="5">
    <w:name w:val="Strong"/>
    <w:basedOn w:val="4"/>
    <w:qFormat/>
    <w:uiPriority w:val="0"/>
    <w:rPr>
      <w:b/>
    </w:rPr>
  </w:style>
  <w:style w:type="character" w:styleId="6">
    <w:name w:val="FollowedHyperlink"/>
    <w:basedOn w:val="4"/>
    <w:qFormat/>
    <w:uiPriority w:val="0"/>
    <w:rPr>
      <w:color w:val="800080"/>
      <w:u w:val="single"/>
    </w:rPr>
  </w:style>
  <w:style w:type="character" w:styleId="7">
    <w:name w:val="Emphasis"/>
    <w:basedOn w:val="4"/>
    <w:qFormat/>
    <w:uiPriority w:val="0"/>
    <w:rPr>
      <w:i/>
    </w:rPr>
  </w:style>
  <w:style w:type="character" w:styleId="8">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2516</Words>
  <Characters>2750</Characters>
  <Lines>0</Lines>
  <Paragraphs>0</Paragraphs>
  <TotalTime>0</TotalTime>
  <ScaleCrop>false</ScaleCrop>
  <LinksUpToDate>false</LinksUpToDate>
  <CharactersWithSpaces>2781</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2026-01-27T10:35:00Z</dcterms:created>
  <dc:creator>时肆</dc:creator>
  <cp:lastModifiedBy>Zhangyu WANG</cp:lastModifiedBy>
  <dcterms:modified xsi:type="dcterms:W3CDTF">2026-05-13T18:14:45Z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7E728DAF84D38F7BD29CC469273F9DF7_43</vt:lpwstr>
  </property>
  <property fmtid="{D5CDD505-2E9C-101B-9397-08002B2CF9AE}" pid="4" name="KSOTemplateDocerSaveRecord">
    <vt:lpwstr>eyJoZGlkIjoiMWRmNWNiMmIxMTZiMWIzOGRkY2YyNTYzNTgzOWY0NjkiLCJ1c2VySWQiOiI4NDk3NTYwNjQifQ==</vt:lpwstr>
  </property>
</Properties>
</file>